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r>
      <w:r/>
    </w:p>
    <w:p>
      <w:pPr>
        <w:jc w:val="center"/>
        <w:spacing w:before="120" w:after="120" w:line="360" w:lineRule="auto"/>
        <w:rPr>
          <w:rFonts w:hint="eastAsia" w:ascii="宋体" w:hAnsi="宋体" w:eastAsia="宋体" w:cs="宋体"/>
          <w:b/>
          <w:bCs/>
          <w:sz w:val="84"/>
          <w:szCs w:val="24"/>
        </w:rPr>
      </w:pPr>
      <w:r>
        <w:rPr>
          <w:rFonts w:hint="eastAsia" w:ascii="宋体" w:hAnsi="宋体" w:eastAsia="宋体" w:cs="宋体"/>
          <w:b/>
          <w:bCs/>
          <w:sz w:val="84"/>
          <w:szCs w:val="24"/>
        </w:rPr>
        <w:t xml:space="preserve">竞争性磋商文件</w:t>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1506"/>
        <w:rPr>
          <w:rFonts w:hint="eastAsia" w:ascii="宋体" w:hAnsi="宋体" w:eastAsia="宋体" w:cs="宋体"/>
          <w:b/>
          <w:sz w:val="30"/>
          <w:szCs w:val="30"/>
        </w:rPr>
      </w:pPr>
      <w:r>
        <w:rPr>
          <w:rFonts w:hint="eastAsia" w:ascii="宋体" w:hAnsi="宋体" w:eastAsia="宋体" w:cs="宋体"/>
          <w:b/>
          <w:sz w:val="30"/>
          <w:szCs w:val="30"/>
        </w:rPr>
      </w:r>
      <w:r/>
    </w:p>
    <w:p>
      <w:pPr>
        <w:ind w:firstLine="601"/>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项目名称：皂河站监测装置及控制系统完善项目</w:t>
      </w:r>
      <w:r/>
    </w:p>
    <w:p>
      <w:pPr>
        <w:ind w:firstLine="601"/>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项目编号：JSZC-320000-SQHZ-C2026-0006</w:t>
      </w:r>
      <w:r/>
    </w:p>
    <w:p>
      <w:pPr>
        <w:ind w:left="2800" w:hanging="2800"/>
        <w:rPr>
          <w:rFonts w:hint="eastAsia" w:ascii="宋体" w:hAnsi="宋体" w:eastAsia="宋体" w:cs="宋体"/>
          <w:sz w:val="28"/>
          <w:szCs w:val="28"/>
        </w:rPr>
      </w:pPr>
      <w:r>
        <w:rPr>
          <w:rFonts w:hint="eastAsia" w:ascii="宋体" w:hAnsi="宋体" w:eastAsia="宋体" w:cs="宋体"/>
          <w:sz w:val="28"/>
          <w:szCs w:val="28"/>
        </w:rPr>
      </w:r>
      <w:r/>
    </w:p>
    <w:p>
      <w:pPr>
        <w:ind w:left="2800" w:hanging="2800"/>
        <w:rPr>
          <w:rFonts w:hint="eastAsia" w:ascii="宋体" w:hAnsi="宋体" w:eastAsia="宋体" w:cs="宋体"/>
          <w:b/>
          <w:sz w:val="28"/>
          <w:szCs w:val="28"/>
        </w:rPr>
      </w:pPr>
      <w:r>
        <w:rPr>
          <w:rFonts w:hint="eastAsia" w:ascii="宋体" w:hAnsi="宋体" w:eastAsia="宋体" w:cs="宋体"/>
          <w:sz w:val="28"/>
          <w:szCs w:val="28"/>
        </w:rPr>
        <w:t xml:space="preserve">          </w:t>
      </w:r>
      <w:r>
        <w:rPr>
          <w:rFonts w:hint="eastAsia" w:ascii="宋体" w:hAnsi="宋体" w:eastAsia="宋体" w:cs="宋体"/>
          <w:b/>
          <w:sz w:val="28"/>
          <w:szCs w:val="28"/>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2"/>
        <w:ind w:firstLine="0"/>
        <w:rPr>
          <w:rFonts w:hint="eastAsia" w:ascii="宋体" w:hAnsi="宋体" w:eastAsia="宋体" w:cs="宋体"/>
        </w:rPr>
      </w:pPr>
      <w:r>
        <w:rPr>
          <w:rFonts w:hint="eastAsia" w:ascii="宋体" w:hAnsi="宋体" w:eastAsia="宋体" w:cs="宋体"/>
        </w:rPr>
      </w:r>
      <w:r/>
    </w:p>
    <w:tbl>
      <w:tblPr>
        <w:tblStyle w:val="807"/>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b/>
                <w:bCs/>
                <w:spacing w:val="45"/>
                <w:sz w:val="32"/>
                <w:szCs w:val="24"/>
              </w:rPr>
              <w:t xml:space="preserve">采  购 人</w:t>
            </w:r>
            <w:r>
              <w:rPr>
                <w:rFonts w:hint="eastAsia" w:ascii="宋体" w:hAnsi="宋体" w:eastAsia="宋体" w:cs="宋体"/>
                <w:b/>
                <w:bCs/>
                <w:spacing w:val="1"/>
                <w:sz w:val="32"/>
                <w:szCs w:val="24"/>
              </w:rPr>
              <w:t xml:space="preserve">：</w:t>
            </w:r>
            <w:r/>
          </w:p>
        </w:tc>
        <w:tc>
          <w:tcPr>
            <w:tcW w:w="475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b/>
                <w:sz w:val="30"/>
                <w:szCs w:val="30"/>
                <w:lang w:bidi="ar"/>
              </w:rPr>
              <w:t xml:space="preserve">江苏省皂河抽水站</w:t>
            </w:r>
            <w:r/>
          </w:p>
        </w:tc>
      </w:tr>
      <w:tr>
        <w:trPr>
          <w:trHeight w:val="617"/>
        </w:trPr>
        <w:tc>
          <w:tcPr>
            <w:tcW w:w="2675" w:type="dxa"/>
            <w:vAlign w:val="center"/>
            <w:textDirection w:val="lrTb"/>
            <w:noWrap w:val="false"/>
          </w:tcPr>
          <w:p>
            <w:pPr>
              <w:jc w:val="left"/>
              <w:spacing w:line="500" w:lineRule="exact"/>
              <w:rPr>
                <w:rFonts w:hint="eastAsia" w:ascii="宋体" w:hAnsi="宋体" w:eastAsia="宋体" w:cs="宋体"/>
                <w:b/>
                <w:bCs/>
                <w:spacing w:val="45"/>
                <w:sz w:val="32"/>
                <w:szCs w:val="24"/>
              </w:rPr>
            </w:pPr>
            <w:r>
              <w:rPr>
                <w:rFonts w:hint="eastAsia" w:ascii="宋体" w:hAnsi="宋体" w:eastAsia="宋体" w:cs="宋体"/>
                <w:b/>
                <w:bCs/>
                <w:sz w:val="32"/>
                <w:szCs w:val="24"/>
              </w:rPr>
              <w:t xml:space="preserve">采购代理机构：</w:t>
            </w:r>
            <w:r/>
          </w:p>
        </w:tc>
        <w:tc>
          <w:tcPr>
            <w:tcW w:w="4752" w:type="dxa"/>
            <w:vAlign w:val="center"/>
            <w:textDirection w:val="lrTb"/>
            <w:noWrap w:val="false"/>
          </w:tcPr>
          <w:p>
            <w:pPr>
              <w:jc w:val="left"/>
              <w:spacing w:line="500" w:lineRule="exact"/>
              <w:rPr>
                <w:rFonts w:hint="eastAsia" w:ascii="宋体" w:hAnsi="宋体" w:eastAsia="宋体" w:cs="宋体"/>
                <w:sz w:val="24"/>
                <w:szCs w:val="24"/>
                <w:highlight w:val="yellow"/>
              </w:rPr>
            </w:pPr>
            <w:r>
              <w:rPr>
                <w:rFonts w:hint="eastAsia" w:ascii="宋体" w:hAnsi="宋体" w:eastAsia="宋体" w:cs="宋体"/>
                <w:b/>
                <w:sz w:val="30"/>
                <w:szCs w:val="30"/>
                <w:lang w:bidi="ar"/>
              </w:rPr>
              <w:t xml:space="preserve">宿迁市禾盛咨询有限公司</w:t>
            </w:r>
            <w:r/>
          </w:p>
        </w:tc>
      </w:tr>
    </w:tbl>
    <w:p>
      <w:pPr>
        <w:pStyle w:val="1186"/>
        <w:rPr>
          <w:rFonts w:hint="eastAsia" w:ascii="宋体" w:hAnsi="宋体" w:eastAsia="宋体" w:cs="宋体"/>
          <w:b/>
          <w:bCs/>
          <w:sz w:val="32"/>
        </w:rPr>
      </w:pPr>
      <w:r>
        <w:rPr>
          <w:rFonts w:hint="eastAsia" w:ascii="宋体" w:hAnsi="宋体" w:eastAsia="宋体" w:cs="宋体"/>
          <w:b/>
          <w:bCs/>
          <w:sz w:val="32"/>
        </w:rPr>
        <w:t xml:space="preserve">                </w:t>
      </w:r>
      <w:r/>
    </w:p>
    <w:p>
      <w:pPr>
        <w:pStyle w:val="1186"/>
        <w:ind w:firstLine="0"/>
        <w:rPr>
          <w:rFonts w:hint="eastAsia" w:ascii="宋体" w:hAnsi="宋体" w:eastAsia="宋体" w:cs="宋体"/>
          <w:b/>
          <w:bCs/>
          <w:sz w:val="32"/>
        </w:rPr>
      </w:pPr>
      <w:r>
        <w:rPr>
          <w:rFonts w:hint="eastAsia" w:ascii="宋体" w:hAnsi="宋体" w:eastAsia="宋体" w:cs="宋体"/>
          <w:b/>
          <w:bCs/>
          <w:sz w:val="32"/>
        </w:rPr>
      </w:r>
      <w:r/>
    </w:p>
    <w:p>
      <w:pPr>
        <w:pStyle w:val="1186"/>
        <w:ind w:firstLine="0"/>
        <w:rPr>
          <w:rFonts w:hint="eastAsia" w:ascii="宋体" w:hAnsi="宋体" w:eastAsia="宋体" w:cs="宋体"/>
          <w:b/>
          <w:bCs/>
          <w:sz w:val="32"/>
          <w:szCs w:val="32"/>
          <w:highlight w:val="yellow"/>
        </w:rPr>
      </w:pPr>
      <w:r>
        <w:rPr>
          <w:rFonts w:hint="eastAsia" w:ascii="宋体" w:hAnsi="宋体" w:eastAsia="宋体" w:cs="宋体"/>
          <w:b/>
          <w:bCs/>
          <w:sz w:val="32"/>
          <w:szCs w:val="32"/>
          <w:highlight w:val="yellow"/>
        </w:rPr>
      </w:r>
      <w:r/>
    </w:p>
    <w:p>
      <w:pPr>
        <w:pStyle w:val="1186"/>
        <w:ind w:firstLine="0"/>
        <w:rPr>
          <w:rFonts w:hint="eastAsia" w:ascii="宋体" w:hAnsi="宋体" w:eastAsia="宋体" w:cs="宋体"/>
          <w:b/>
          <w:bCs/>
          <w:sz w:val="32"/>
          <w:szCs w:val="32"/>
        </w:rPr>
      </w:pPr>
      <w:r>
        <w:rPr>
          <w:rFonts w:hint="eastAsia" w:ascii="宋体" w:hAnsi="宋体" w:eastAsia="宋体" w:cs="宋体"/>
          <w:b/>
          <w:bCs/>
          <w:sz w:val="32"/>
          <w:szCs w:val="32"/>
        </w:rPr>
      </w:r>
      <w:r/>
    </w:p>
    <w:p>
      <w:pPr>
        <w:pStyle w:val="1186"/>
        <w:ind w:firstLine="0"/>
        <w:rPr>
          <w:rFonts w:hint="eastAsia" w:ascii="宋体" w:hAnsi="宋体" w:eastAsia="宋体" w:cs="宋体"/>
          <w:b/>
          <w:bCs/>
          <w:sz w:val="32"/>
          <w:szCs w:val="32"/>
        </w:rPr>
      </w:pPr>
      <w:r>
        <w:rPr>
          <w:rFonts w:hint="eastAsia" w:ascii="宋体" w:hAnsi="宋体" w:eastAsia="宋体" w:cs="宋体"/>
          <w:b/>
          <w:bCs/>
          <w:sz w:val="32"/>
          <w:szCs w:val="32"/>
        </w:rPr>
      </w:r>
      <w:r/>
    </w:p>
    <w:p>
      <w:pPr>
        <w:pStyle w:val="1186"/>
        <w:ind w:firstLine="0"/>
        <w:jc w:val="center"/>
        <w:rPr>
          <w:rFonts w:hint="eastAsia" w:ascii="宋体" w:hAnsi="宋体" w:eastAsia="宋体" w:cs="宋体"/>
          <w:b/>
          <w:bCs/>
          <w:sz w:val="32"/>
          <w:szCs w:val="32"/>
        </w:rPr>
      </w:pPr>
      <w:r>
        <w:rPr>
          <w:rFonts w:hint="eastAsia" w:ascii="宋体" w:hAnsi="宋体" w:eastAsia="宋体" w:cs="宋体"/>
          <w:b/>
          <w:bCs/>
          <w:sz w:val="32"/>
        </w:rPr>
        <w:t xml:space="preserve">2026年</w:t>
      </w:r>
      <w:r>
        <w:rPr>
          <w:rFonts w:hint="eastAsia" w:hAnsi="宋体" w:cs="宋体"/>
          <w:b/>
          <w:bCs/>
          <w:sz w:val="32"/>
          <w:szCs w:val="22"/>
          <w:lang w:val="en-US" w:eastAsia="zh-CN"/>
        </w:rPr>
        <w:t xml:space="preserve">8</w:t>
      </w:r>
      <w:r>
        <w:rPr>
          <w:rFonts w:hint="eastAsia" w:ascii="宋体" w:hAnsi="宋体" w:eastAsia="宋体" w:cs="宋体"/>
          <w:b/>
          <w:bCs/>
          <w:sz w:val="32"/>
          <w:szCs w:val="22"/>
        </w:rPr>
        <w:t xml:space="preserve">月</w:t>
      </w:r>
      <w:r>
        <w:rPr>
          <w:rFonts w:hint="eastAsia" w:hAnsi="宋体" w:cs="宋体"/>
          <w:b/>
          <w:bCs/>
          <w:sz w:val="32"/>
          <w:szCs w:val="22"/>
          <w:lang w:val="en-US" w:eastAsia="zh-CN"/>
        </w:rPr>
        <w:t xml:space="preserve">10</w:t>
      </w:r>
      <w:r>
        <w:rPr>
          <w:rFonts w:hint="eastAsia" w:ascii="宋体" w:hAnsi="宋体" w:eastAsia="宋体" w:cs="宋体"/>
          <w:b/>
          <w:bCs/>
          <w:sz w:val="32"/>
          <w:szCs w:val="22"/>
        </w:rPr>
        <w:t xml:space="preserve">日</w:t>
      </w:r>
      <w:r/>
    </w:p>
    <w:p>
      <w:pPr>
        <w:jc w:val="center"/>
        <w:rPr>
          <w:rFonts w:hint="eastAsia" w:ascii="宋体" w:hAnsi="宋体" w:eastAsia="宋体" w:cs="宋体"/>
          <w:sz w:val="36"/>
        </w:rPr>
      </w:pPr>
      <w:r>
        <w:rPr>
          <w:rFonts w:hint="eastAsia" w:ascii="宋体" w:hAnsi="宋体" w:eastAsia="宋体" w:cs="宋体"/>
          <w:sz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rPr>
      </w:pPr>
      <w:r>
        <w:rPr>
          <w:rFonts w:hint="eastAsia" w:ascii="宋体" w:hAnsi="宋体" w:eastAsia="宋体" w:cs="宋体"/>
          <w:sz w:val="36"/>
        </w:rPr>
        <w:t xml:space="preserve">目    录</w:t>
      </w:r>
      <w:r/>
    </w:p>
    <w:p>
      <w:pPr>
        <w:pStyle w:val="822"/>
        <w:spacing w:before="0" w:after="0" w:line="700" w:lineRule="exact"/>
        <w:tabs>
          <w:tab w:val="right" w:pos="8306" w:leader="dot"/>
        </w:tabs>
        <w:rPr>
          <w:rFonts w:hint="eastAsia" w:ascii="宋体" w:hAnsi="宋体" w:eastAsia="宋体" w:cs="宋体"/>
          <w:b w:val="0"/>
          <w:bCs w:val="0"/>
          <w:caps w:val="0"/>
          <w:sz w:val="32"/>
        </w:rPr>
      </w:pP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TOC \o "1-1" \h \u </w:instrText>
      </w:r>
      <w:r>
        <w:rPr>
          <w:rFonts w:hint="eastAsia" w:ascii="宋体" w:hAnsi="宋体" w:eastAsia="宋体" w:cs="宋体"/>
          <w:b w:val="0"/>
          <w:bCs w:val="0"/>
          <w:caps w:val="0"/>
          <w:sz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"_Toc7294"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第一章  磋商邀请</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_Toc7294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822"/>
        <w:spacing w:before="0" w:after="0" w:line="700" w:lineRule="exact"/>
        <w:tabs>
          <w:tab w:val="right" w:pos="8306"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"_Toc3297" </w:instrText>
      </w:r>
      <w:r>
        <w:rPr>
          <w:rFonts w:hint="eastAsia" w:ascii="宋体" w:hAnsi="宋体" w:eastAsia="宋体" w:cs="宋体"/>
        </w:rPr>
        <w:fldChar w:fldCharType="separate"/>
      </w:r>
      <w:r>
        <w:rPr>
          <w:rFonts w:hint="eastAsia" w:ascii="宋体" w:hAnsi="宋体" w:eastAsia="宋体" w:cs="宋体"/>
          <w:b w:val="0"/>
          <w:bCs w:val="0"/>
          <w:caps w:val="0"/>
          <w:sz w:val="32"/>
        </w:rPr>
        <w:t xml:space="preserve">第二章  供应商须知</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_Toc3297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6</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822"/>
        <w:spacing w:before="0" w:after="0" w:line="700" w:lineRule="exact"/>
        <w:tabs>
          <w:tab w:val="right" w:pos="8306"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"_Toc21941" </w:instrText>
      </w:r>
      <w:r>
        <w:rPr>
          <w:rFonts w:hint="eastAsia" w:ascii="宋体" w:hAnsi="宋体" w:eastAsia="宋体" w:cs="宋体"/>
        </w:rPr>
        <w:fldChar w:fldCharType="separate"/>
      </w:r>
      <w:r>
        <w:rPr>
          <w:rFonts w:hint="eastAsia" w:ascii="宋体" w:hAnsi="宋体" w:eastAsia="宋体" w:cs="宋体"/>
          <w:b w:val="0"/>
          <w:bCs w:val="0"/>
          <w:caps w:val="0"/>
          <w:sz w:val="32"/>
        </w:rPr>
        <w:t xml:space="preserve">第三章  评审方法与评审标准</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_Toc21941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20</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822"/>
        <w:spacing w:before="0" w:after="0" w:line="700" w:lineRule="exact"/>
        <w:tabs>
          <w:tab w:val="right" w:pos="8306"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"_Toc1519"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第四章  采购需求</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_Toc1519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23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822"/>
        <w:spacing w:before="0" w:after="0" w:line="700" w:lineRule="exact"/>
        <w:tabs>
          <w:tab w:val="right" w:pos="8306"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"_Toc2833"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第五章  合同文本</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_Toc2833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pStyle w:val="822"/>
        <w:spacing w:before="0" w:after="0" w:line="700" w:lineRule="exact"/>
        <w:tabs>
          <w:tab w:val="right" w:pos="8306" w:leader="dot"/>
        </w:tabs>
        <w:rPr>
          <w:rFonts w:hint="eastAsia" w:ascii="宋体" w:hAnsi="宋体" w:eastAsia="宋体" w:cs="宋体"/>
          <w:b w:val="0"/>
          <w:bCs w:val="0"/>
          <w:caps w:val="0"/>
          <w:sz w:val="32"/>
        </w:rPr>
      </w:pPr>
      <w:r>
        <w:rPr>
          <w:rFonts w:hint="eastAsia" w:ascii="宋体" w:hAnsi="宋体" w:eastAsia="宋体" w:cs="宋体"/>
        </w:rPr>
        <w:fldChar w:fldCharType="begin"/>
      </w:r>
      <w:r>
        <w:rPr>
          <w:rFonts w:hint="eastAsia" w:ascii="宋体" w:hAnsi="宋体" w:eastAsia="宋体" w:cs="宋体"/>
        </w:rPr>
        <w:instrText xml:space="preserve"> HYPERLINK \l "_Toc22631" </w:instrText>
      </w:r>
      <w:r>
        <w:rPr>
          <w:rFonts w:hint="eastAsia" w:ascii="宋体" w:hAnsi="宋体" w:eastAsia="宋体" w:cs="宋体"/>
        </w:rPr>
        <w:fldChar w:fldCharType="separate"/>
      </w:r>
      <w:r>
        <w:rPr>
          <w:rFonts w:hint="eastAsia" w:ascii="宋体" w:hAnsi="宋体" w:eastAsia="宋体" w:cs="宋体"/>
          <w:b w:val="0"/>
          <w:bCs w:val="0"/>
          <w:caps w:val="0"/>
          <w:sz w:val="32"/>
          <w:szCs w:val="44"/>
        </w:rPr>
        <w:t xml:space="preserve">第六章  响应文件格式</w:t>
      </w:r>
      <w:r>
        <w:rPr>
          <w:rFonts w:hint="eastAsia" w:ascii="宋体" w:hAnsi="宋体" w:eastAsia="宋体" w:cs="宋体"/>
          <w:b w:val="0"/>
          <w:bCs w:val="0"/>
          <w:caps w:val="0"/>
          <w:sz w:val="32"/>
        </w:rPr>
        <w:tab/>
      </w:r>
      <w:r>
        <w:rPr>
          <w:rFonts w:hint="eastAsia" w:ascii="宋体" w:hAnsi="宋体" w:eastAsia="宋体" w:cs="宋体"/>
          <w:b w:val="0"/>
          <w:bCs w:val="0"/>
          <w:caps w:val="0"/>
          <w:sz w:val="32"/>
        </w:rPr>
        <w:fldChar w:fldCharType="begin"/>
      </w:r>
      <w:r>
        <w:rPr>
          <w:rFonts w:hint="eastAsia" w:ascii="宋体" w:hAnsi="宋体" w:eastAsia="宋体" w:cs="宋体"/>
          <w:b w:val="0"/>
          <w:bCs w:val="0"/>
          <w:caps w:val="0"/>
          <w:sz w:val="32"/>
        </w:rPr>
        <w:instrText xml:space="preserve"> PAGEREF _Toc22631 \h </w:instrText>
      </w:r>
      <w:r>
        <w:rPr>
          <w:rFonts w:hint="eastAsia" w:ascii="宋体" w:hAnsi="宋体" w:eastAsia="宋体" w:cs="宋体"/>
          <w:b w:val="0"/>
          <w:bCs w:val="0"/>
          <w:caps w:val="0"/>
          <w:sz w:val="32"/>
        </w:rPr>
        <w:fldChar w:fldCharType="separate"/>
      </w:r>
      <w:r>
        <w:rPr>
          <w:rFonts w:hint="eastAsia" w:ascii="宋体" w:hAnsi="宋体" w:eastAsia="宋体" w:cs="宋体"/>
          <w:b w:val="0"/>
          <w:bCs w:val="0"/>
          <w:caps w:val="0"/>
          <w:sz w:val="32"/>
        </w:rPr>
        <w:t xml:space="preserve">33</w:t>
      </w:r>
      <w:r>
        <w:rPr>
          <w:rFonts w:hint="eastAsia" w:ascii="宋体" w:hAnsi="宋体" w:eastAsia="宋体" w:cs="宋体"/>
          <w:b w:val="0"/>
          <w:bCs w:val="0"/>
          <w:caps w:val="0"/>
          <w:sz w:val="32"/>
        </w:rPr>
        <w:fldChar w:fldCharType="end"/>
      </w:r>
      <w:r>
        <w:rPr>
          <w:rFonts w:hint="eastAsia" w:ascii="宋体" w:hAnsi="宋体" w:eastAsia="宋体" w:cs="宋体"/>
          <w:b w:val="0"/>
          <w:bCs w:val="0"/>
          <w:caps w:val="0"/>
          <w:sz w:val="32"/>
        </w:rPr>
        <w:fldChar w:fldCharType="end"/>
      </w:r>
      <w:r/>
    </w:p>
    <w:p>
      <w:pPr>
        <w:jc w:val="center"/>
        <w:spacing w:line="700" w:lineRule="exact"/>
        <w:rPr>
          <w:rFonts w:hint="eastAsia" w:ascii="宋体" w:hAnsi="宋体" w:eastAsia="宋体" w:cs="宋体"/>
          <w:sz w:val="32"/>
        </w:rPr>
      </w:pPr>
      <w:r>
        <w:rPr>
          <w:rFonts w:hint="eastAsia" w:ascii="宋体" w:hAnsi="宋体" w:eastAsia="宋体" w:cs="宋体"/>
          <w:sz w:val="32"/>
        </w:rPr>
        <w:fldChar w:fldCharType="end"/>
      </w:r>
      <w:r/>
    </w:p>
    <w:p>
      <w:pPr>
        <w:jc w:val="center"/>
        <w:spacing w:line="700" w:lineRule="exact"/>
        <w:rPr>
          <w:rFonts w:hint="eastAsia" w:ascii="宋体" w:hAnsi="宋体" w:eastAsia="宋体" w:cs="宋体"/>
          <w:sz w:val="32"/>
        </w:rPr>
      </w:pPr>
      <w:r>
        <w:rPr>
          <w:rFonts w:hint="eastAsia" w:ascii="宋体" w:hAnsi="宋体" w:eastAsia="宋体" w:cs="宋体"/>
          <w:sz w:val="32"/>
        </w:rPr>
      </w:r>
      <w:r/>
    </w:p>
    <w:p>
      <w:pPr>
        <w:jc w:val="center"/>
        <w:spacing w:line="700" w:lineRule="exact"/>
        <w:rPr>
          <w:rFonts w:hint="eastAsia" w:ascii="宋体" w:hAnsi="宋体" w:eastAsia="宋体" w:cs="宋体"/>
          <w:sz w:val="32"/>
        </w:rPr>
      </w:pPr>
      <w:r>
        <w:rPr>
          <w:rFonts w:hint="eastAsia" w:ascii="宋体" w:hAnsi="宋体" w:eastAsia="宋体" w:cs="宋体"/>
          <w:sz w:val="32"/>
        </w:rPr>
      </w:r>
      <w:r/>
    </w:p>
    <w:p>
      <w:pPr>
        <w:jc w:val="center"/>
        <w:spacing w:line="700" w:lineRule="exact"/>
        <w:rPr>
          <w:rFonts w:hint="eastAsia" w:ascii="宋体" w:hAnsi="宋体" w:eastAsia="宋体" w:cs="宋体"/>
          <w:sz w:val="32"/>
        </w:rPr>
      </w:pPr>
      <w:r>
        <w:rPr>
          <w:rFonts w:hint="eastAsia" w:ascii="宋体" w:hAnsi="宋体" w:eastAsia="宋体" w:cs="宋体"/>
          <w:sz w:val="32"/>
        </w:rPr>
      </w:r>
      <w:r/>
    </w:p>
    <w:p>
      <w:pPr>
        <w:jc w:val="center"/>
        <w:spacing w:line="700" w:lineRule="exact"/>
        <w:rPr>
          <w:rFonts w:hint="eastAsia" w:ascii="宋体" w:hAnsi="宋体" w:eastAsia="宋体" w:cs="宋体"/>
          <w:sz w:val="32"/>
        </w:rPr>
      </w:pPr>
      <w:r>
        <w:rPr>
          <w:rFonts w:hint="eastAsia" w:ascii="宋体" w:hAnsi="宋体" w:eastAsia="宋体" w:cs="宋体"/>
          <w:sz w:val="32"/>
        </w:rPr>
      </w:r>
      <w:r/>
    </w:p>
    <w:p>
      <w:pPr>
        <w:jc w:val="center"/>
        <w:spacing w:line="700" w:lineRule="exact"/>
        <w:rPr>
          <w:rFonts w:hint="eastAsia" w:ascii="宋体" w:hAnsi="宋体" w:eastAsia="宋体" w:cs="宋体"/>
          <w:sz w:val="32"/>
        </w:rPr>
      </w:pPr>
      <w:r>
        <w:rPr>
          <w:rFonts w:hint="eastAsia" w:ascii="宋体" w:hAnsi="宋体" w:eastAsia="宋体" w:cs="宋体"/>
          <w:sz w:val="32"/>
        </w:rPr>
      </w:r>
      <w:r/>
    </w:p>
    <w:p>
      <w:pPr>
        <w:jc w:val="center"/>
        <w:spacing w:line="700" w:lineRule="exact"/>
        <w:rPr>
          <w:rFonts w:hint="eastAsia" w:ascii="宋体" w:hAnsi="宋体" w:eastAsia="宋体" w:cs="宋体"/>
          <w:sz w:val="32"/>
        </w:rPr>
      </w:pPr>
      <w:r>
        <w:rPr>
          <w:rFonts w:hint="eastAsia" w:ascii="宋体" w:hAnsi="宋体" w:eastAsia="宋体" w:cs="宋体"/>
          <w:sz w:val="32"/>
        </w:rPr>
      </w:r>
      <w:r/>
    </w:p>
    <w:p>
      <w:pPr>
        <w:jc w:val="center"/>
        <w:spacing w:line="700" w:lineRule="exact"/>
        <w:rPr>
          <w:rFonts w:hint="eastAsia" w:ascii="宋体" w:hAnsi="宋体" w:eastAsia="宋体" w:cs="宋体"/>
          <w:sz w:val="32"/>
        </w:rPr>
      </w:pPr>
      <w:r>
        <w:rPr>
          <w:rFonts w:hint="eastAsia" w:ascii="宋体" w:hAnsi="宋体" w:eastAsia="宋体" w:cs="宋体"/>
          <w:sz w:val="32"/>
        </w:rPr>
      </w:r>
      <w:r/>
    </w:p>
    <w:p>
      <w:pPr>
        <w:jc w:val="center"/>
        <w:rPr>
          <w:rFonts w:hint="eastAsia" w:ascii="宋体" w:hAnsi="宋体" w:eastAsia="宋体" w:cs="宋体"/>
          <w:sz w:val="44"/>
          <w:szCs w:val="44"/>
        </w:rPr>
      </w:pPr>
      <w:r/>
      <w:bookmarkStart w:id="0" w:name="_Toc27259"/>
      <w:r/>
      <w:bookmarkStart w:id="1" w:name="_Toc7294"/>
      <w:r/>
      <w:bookmarkStart w:id="2" w:name="_Toc13414"/>
      <w:r/>
      <w:bookmarkStart w:id="3" w:name="_Toc141869960"/>
      <w:r>
        <w:rPr>
          <w:rFonts w:hint="eastAsia" w:ascii="宋体" w:hAnsi="宋体" w:eastAsia="宋体" w:cs="宋体"/>
          <w:sz w:val="44"/>
          <w:szCs w:val="44"/>
        </w:rPr>
        <w:t xml:space="preserve">第一章  磋商邀请</w:t>
      </w:r>
      <w:bookmarkEnd w:id="0"/>
      <w:r/>
      <w:bookmarkEnd w:id="1"/>
      <w:r/>
      <w:bookmarkEnd w:id="2"/>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受</w:t>
      </w:r>
      <w:r>
        <w:rPr>
          <w:rFonts w:hint="eastAsia" w:ascii="宋体" w:hAnsi="宋体" w:eastAsia="宋体" w:cs="宋体"/>
          <w:sz w:val="24"/>
          <w:szCs w:val="24"/>
          <w:u w:val="single"/>
        </w:rPr>
        <w:t xml:space="preserve">江苏省皂河抽水站</w:t>
      </w:r>
      <w:r>
        <w:rPr>
          <w:rFonts w:hint="eastAsia" w:ascii="宋体" w:hAnsi="宋体" w:eastAsia="宋体" w:cs="宋体"/>
          <w:sz w:val="24"/>
          <w:szCs w:val="24"/>
        </w:rPr>
        <w:t xml:space="preserve">的委托，</w:t>
      </w:r>
      <w:r>
        <w:rPr>
          <w:rFonts w:hint="eastAsia" w:ascii="宋体" w:hAnsi="宋体" w:eastAsia="宋体" w:cs="宋体"/>
          <w:sz w:val="24"/>
          <w:szCs w:val="24"/>
          <w:u w:val="single"/>
        </w:rPr>
        <w:t xml:space="preserve">宿迁市禾盛咨询有限公司</w:t>
      </w:r>
      <w:r>
        <w:rPr>
          <w:rFonts w:hint="eastAsia" w:ascii="宋体" w:hAnsi="宋体" w:eastAsia="宋体" w:cs="宋体"/>
          <w:sz w:val="24"/>
          <w:szCs w:val="24"/>
        </w:rPr>
        <w:t xml:space="preserve">就</w:t>
      </w:r>
      <w:r>
        <w:rPr>
          <w:rFonts w:hint="eastAsia" w:ascii="宋体" w:hAnsi="宋体" w:eastAsia="宋体" w:cs="宋体"/>
          <w:sz w:val="24"/>
          <w:szCs w:val="24"/>
          <w:u w:val="single"/>
        </w:rPr>
        <w:t xml:space="preserve">皂河站监测装置及控制系统完善项目(JSZC-320000-SQHZ-C2026-0006)</w:t>
      </w:r>
      <w:r>
        <w:rPr>
          <w:rFonts w:hint="eastAsia" w:ascii="宋体" w:hAnsi="宋体" w:eastAsia="宋体" w:cs="宋体"/>
          <w:sz w:val="24"/>
          <w:szCs w:val="24"/>
        </w:rPr>
        <w:t xml:space="preserve">进行竞争性磋商采购，欢迎符合条件的供应商参加磋商。</w:t>
      </w:r>
      <w:r/>
    </w:p>
    <w:p>
      <w:pPr>
        <w:ind w:firstLine="480"/>
        <w:spacing w:line="50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50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皂河站监测装置及控制系统完善项目</w:t>
      </w:r>
      <w:r>
        <w:rPr>
          <w:rFonts w:hint="eastAsia" w:ascii="宋体" w:hAnsi="宋体" w:eastAsia="宋体" w:cs="宋体"/>
          <w:sz w:val="24"/>
          <w:szCs w:val="24"/>
        </w:rPr>
        <w:t xml:space="preserve">潜在供应商可在“江苏政府采购网”、“宿迁市政府采购网”自行免费获取磋商文件，并于2026年</w:t>
      </w:r>
      <w:r>
        <w:rPr>
          <w:rFonts w:hint="eastAsia" w:ascii="宋体" w:hAnsi="宋体" w:cs="宋体"/>
          <w:sz w:val="24"/>
          <w:szCs w:val="24"/>
          <w:lang w:val="en-US" w:eastAsia="zh-CN"/>
        </w:rPr>
        <w:t xml:space="preserve">08</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日09点30分（北京时间）前递交响应文件。</w:t>
      </w:r>
      <w:r/>
    </w:p>
    <w:p>
      <w:pPr>
        <w:pStyle w:val="798"/>
        <w:ind w:firstLine="321"/>
        <w:spacing w:before="0" w:after="0" w:line="520" w:lineRule="exact"/>
        <w:rPr>
          <w:rFonts w:hint="eastAsia" w:ascii="宋体" w:hAnsi="宋体" w:eastAsia="宋体" w:cs="宋体"/>
          <w:b/>
          <w:bCs/>
          <w:sz w:val="32"/>
        </w:rPr>
      </w:pPr>
      <w:r/>
      <w:bookmarkStart w:id="4" w:name="_Toc38985263"/>
      <w:r/>
      <w:bookmarkStart w:id="5" w:name="_Toc28359079"/>
      <w:r/>
      <w:bookmarkStart w:id="6" w:name="_Hlk24379207"/>
      <w:r/>
      <w:bookmarkStart w:id="7" w:name="_Toc28359002"/>
      <w:r/>
      <w:bookmarkStart w:id="8" w:name="_Toc35393790"/>
      <w:r/>
      <w:bookmarkStart w:id="9" w:name="_Toc35393621"/>
      <w:r>
        <w:rPr>
          <w:rFonts w:hint="eastAsia" w:ascii="宋体" w:hAnsi="宋体" w:eastAsia="宋体" w:cs="宋体"/>
          <w:b/>
          <w:bCs/>
          <w:sz w:val="32"/>
        </w:rPr>
        <w:t xml:space="preserve">一、项目基本情况</w:t>
      </w:r>
      <w:bookmarkEnd w:id="4"/>
      <w:r/>
      <w:bookmarkEnd w:id="5"/>
      <w:r/>
      <w:bookmarkEnd w:id="6"/>
      <w:r/>
      <w:bookmarkEnd w:id="7"/>
      <w:r/>
      <w:bookmarkEnd w:id="8"/>
      <w:r/>
      <w:bookmarkEnd w:id="9"/>
      <w:r/>
      <w:r/>
    </w:p>
    <w:p>
      <w:pPr>
        <w:ind w:firstLine="480"/>
        <w:spacing w:line="360" w:lineRule="auto"/>
        <w:rPr>
          <w:rFonts w:hint="eastAsia" w:ascii="宋体" w:hAnsi="宋体" w:eastAsia="宋体" w:cs="宋体"/>
          <w:sz w:val="24"/>
          <w:szCs w:val="24"/>
        </w:rPr>
      </w:pPr>
      <w:r/>
      <w:bookmarkStart w:id="10" w:name="_Toc35393622"/>
      <w:r/>
      <w:bookmarkStart w:id="11" w:name="_Toc35393791"/>
      <w:r/>
      <w:bookmarkStart w:id="12" w:name="_Toc28359003"/>
      <w:r/>
      <w:bookmarkStart w:id="13" w:name="_Toc28359080"/>
      <w:r/>
      <w:bookmarkStart w:id="14" w:name="_Toc38985264"/>
      <w:r>
        <w:rPr>
          <w:rFonts w:hint="eastAsia" w:ascii="宋体" w:hAnsi="宋体" w:eastAsia="宋体" w:cs="宋体"/>
          <w:sz w:val="24"/>
          <w:szCs w:val="24"/>
        </w:rPr>
        <w:t xml:space="preserve">1.项目编号：</w:t>
      </w:r>
      <w:r>
        <w:rPr>
          <w:rFonts w:hint="eastAsia" w:ascii="宋体" w:hAnsi="宋体" w:eastAsia="宋体" w:cs="宋体"/>
          <w:sz w:val="24"/>
          <w:szCs w:val="24"/>
          <w:u w:val="none"/>
        </w:rPr>
        <w:t xml:space="preserve">JSZC-320000-SQHZ-C2026-0006</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2.项目名称：皂河站监测装置及控制系统完善项目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3.预算金额：268万元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4.本项目设定最高限价，最高限价为2640520元（其中皂河站视频监测与AI巡检联动项目571250元；皂河站主变及GIS开关监测改造571250元； 皂河站自动控制系统整合完善976130元；皂河站安全管理设施改造521890元）。</w:t>
      </w:r>
      <w:r/>
    </w:p>
    <w:p>
      <w:pPr>
        <w:ind w:firstLine="420"/>
        <w:spacing w:after="60" w:line="360" w:lineRule="auto"/>
        <w:rPr>
          <w:rFonts w:hint="eastAsia" w:ascii="宋体" w:hAnsi="宋体" w:eastAsia="宋体" w:cs="宋体"/>
        </w:rPr>
      </w:pPr>
      <w:r>
        <w:rPr>
          <w:rFonts w:hint="eastAsia" w:ascii="宋体" w:hAnsi="宋体" w:eastAsia="宋体" w:cs="宋体"/>
          <w:sz w:val="24"/>
          <w:szCs w:val="24"/>
        </w:rPr>
        <w:t xml:space="preserve">5.采购需求（简介）：</w:t>
      </w:r>
      <w:r>
        <w:rPr>
          <w:rFonts w:hint="eastAsia" w:ascii="宋体" w:hAnsi="宋体" w:eastAsia="宋体" w:cs="宋体"/>
          <w:sz w:val="24"/>
        </w:rPr>
        <w:t xml:space="preserve">皂河站监测装置及控制系统完善，包括视频监测与AI巡检联动、主变及GIS开关监测改造、自动控制系统整合完善、安全管理设施改造四个分项目（详见第四章采购需求）。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6.合同履行期限：90日历天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7.本项目不接受联合体参与磋商。</w:t>
      </w:r>
      <w:r/>
    </w:p>
    <w:p>
      <w:pPr>
        <w:pStyle w:val="798"/>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二、申请人的资格要求</w:t>
      </w:r>
      <w:bookmarkEnd w:id="10"/>
      <w:r/>
      <w:bookmarkEnd w:id="11"/>
      <w:r/>
      <w:bookmarkEnd w:id="12"/>
      <w:r/>
      <w:bookmarkEnd w:id="13"/>
      <w:r/>
      <w:bookmarkEnd w:id="14"/>
      <w:r/>
      <w:r/>
    </w:p>
    <w:p>
      <w:pPr>
        <w:ind w:firstLine="480"/>
        <w:spacing w:line="360" w:lineRule="auto"/>
        <w:rPr>
          <w:rFonts w:hint="eastAsia" w:ascii="宋体" w:hAnsi="宋体" w:eastAsia="宋体" w:cs="宋体"/>
          <w:sz w:val="24"/>
          <w:szCs w:val="24"/>
        </w:rPr>
      </w:pPr>
      <w:r/>
      <w:bookmarkStart w:id="15" w:name="_Toc35393623"/>
      <w:r/>
      <w:bookmarkStart w:id="16" w:name="_Toc38985265"/>
      <w:r/>
      <w:bookmarkStart w:id="17" w:name="_Toc28359081"/>
      <w:r/>
      <w:bookmarkStart w:id="18" w:name="_Toc28359004"/>
      <w:r/>
      <w:bookmarkStart w:id="19" w:name="_Toc35393792"/>
      <w:r>
        <w:rPr>
          <w:rFonts w:hint="eastAsia" w:ascii="宋体" w:hAnsi="宋体" w:eastAsia="宋体" w:cs="宋体"/>
          <w:sz w:val="24"/>
          <w:szCs w:val="24"/>
        </w:rPr>
        <w:t xml:space="preserve">（一）通用资格要求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供应商参加本次政府采购活动应当符合《中华人民共和国政府采购法》第二十二条、《中华人民共和国政府采购法实施条例》第十七条的规定，并提供下列材料：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（1）法人或者其他组织的营业执照、税务登记证等证明文件(或“三证合一”的营业执照或事业单位法人证书）；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（2）2025年度的财务状况报告（指经审计的财务报告或银行出具的资信证明，供应商成立不满一年的不需提供）；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（3）2026年2月份以来任意一月依法缴纳税收和社会保障资金的相关材料（指供应商依法缴纳税收和社会保障资金的完税凭据）；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（5）参加政府采购活动前3年内（自磋商文件发出之日起计算）在经营活动中没有重大违法记录的书面声明；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（6）未被列入失信被执行人、重大税收违法案件当事人名单、政府采购严重违法失信行为记录名单（以本公告“供应商信用信息”查询结果为准）。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（二）落实政府采购政策需满足的资格要求：无。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（三）本项目的特定资格要求：无。</w:t>
      </w:r>
      <w:r/>
    </w:p>
    <w:p>
      <w:pPr>
        <w:pStyle w:val="798"/>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三、获取磋商文件</w:t>
      </w:r>
      <w:bookmarkEnd w:id="15"/>
      <w:r/>
      <w:bookmarkEnd w:id="16"/>
      <w:r/>
      <w:bookmarkEnd w:id="17"/>
      <w:r/>
      <w:bookmarkEnd w:id="18"/>
      <w:r/>
      <w:bookmarkEnd w:id="19"/>
      <w:r/>
      <w:r/>
    </w:p>
    <w:p>
      <w:pPr>
        <w:ind w:firstLine="482"/>
        <w:spacing w:line="480" w:lineRule="exact"/>
        <w:rPr>
          <w:rFonts w:hint="eastAsia" w:ascii="宋体" w:hAnsi="宋体" w:eastAsia="宋体" w:cs="宋体"/>
          <w:sz w:val="24"/>
          <w:szCs w:val="24"/>
        </w:rPr>
      </w:pPr>
      <w:r/>
      <w:bookmarkStart w:id="20" w:name="_Toc38985266"/>
      <w:r/>
      <w:bookmarkStart w:id="21" w:name="_Toc28359005"/>
      <w:r/>
      <w:bookmarkStart w:id="22" w:name="_Toc28359082"/>
      <w:r/>
      <w:bookmarkStart w:id="23" w:name="_Toc35393793"/>
      <w:r/>
      <w:bookmarkStart w:id="24" w:name="_Toc35393624"/>
      <w:r>
        <w:rPr>
          <w:rFonts w:hint="eastAsia" w:ascii="宋体" w:hAnsi="宋体" w:eastAsia="宋体" w:cs="宋体"/>
          <w:sz w:val="24"/>
          <w:szCs w:val="24"/>
        </w:rPr>
        <w:t xml:space="preserve">1.时间：自磋商文件公告发布之日起5个工作日。</w:t>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宋体" w:hAnsi="宋体" w:eastAsia="宋体" w:cs="宋体"/>
          <w:sz w:val="24"/>
          <w:szCs w:val="24"/>
        </w:rPr>
      </w:pPr>
      <w:r/>
      <w:bookmarkStart w:id="25" w:name="EB0c44ff4da61f4af989d119fe214be450"/>
      <w:r>
        <w:rPr>
          <w:rFonts w:hint="eastAsia" w:ascii="宋体" w:hAnsi="宋体" w:eastAsia="宋体" w:cs="宋体"/>
          <w:sz w:val="24"/>
          <w:szCs w:val="24"/>
        </w:rPr>
        <w:t xml:space="preserve">3.本项目共分一个采购包。供应商参与多个采购包磋商的，应按采购包分别获取磋商文件。供应商未按要求获取磋商文件的，后果自负（其响应文件不予接受）。</w:t>
      </w:r>
      <w:bookmarkEnd w:id="20"/>
      <w:r/>
      <w:bookmarkEnd w:id="21"/>
      <w:r/>
      <w:bookmarkEnd w:id="22"/>
      <w:r/>
      <w:bookmarkEnd w:id="23"/>
      <w:r/>
      <w:bookmarkEnd w:id="24"/>
      <w:r/>
      <w:bookmarkEnd w:id="25"/>
      <w:r/>
      <w:r/>
    </w:p>
    <w:p>
      <w:pPr>
        <w:pStyle w:val="798"/>
        <w:ind w:firstLine="321"/>
        <w:spacing w:before="0" w:after="0" w:line="520" w:lineRule="exact"/>
        <w:rPr>
          <w:rFonts w:hint="eastAsia" w:ascii="宋体" w:hAnsi="宋体" w:eastAsia="宋体" w:cs="宋体"/>
          <w:b/>
          <w:bCs/>
          <w:sz w:val="32"/>
        </w:rPr>
      </w:pPr>
      <w:r/>
      <w:bookmarkStart w:id="26" w:name="_Toc35393794"/>
      <w:r/>
      <w:bookmarkStart w:id="27" w:name="_Toc35393625"/>
      <w:r/>
      <w:bookmarkStart w:id="28" w:name="_Toc28359084"/>
      <w:r/>
      <w:bookmarkStart w:id="29" w:name="_Toc28359007"/>
      <w:r/>
      <w:bookmarkStart w:id="30" w:name="_Toc38985267"/>
      <w:r>
        <w:rPr>
          <w:rFonts w:hint="eastAsia" w:ascii="宋体" w:hAnsi="宋体" w:eastAsia="宋体" w:cs="宋体"/>
          <w:b/>
          <w:bCs/>
          <w:sz w:val="32"/>
        </w:rPr>
        <w:t xml:space="preserve">四、提交响应文件截止时间、磋商时间及地点</w:t>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1. 提交响应文件截止时间、磋商时间：2026年</w:t>
      </w:r>
      <w:r>
        <w:rPr>
          <w:rFonts w:hint="eastAsia" w:ascii="宋体" w:hAnsi="宋体" w:cs="宋体"/>
          <w:sz w:val="24"/>
          <w:szCs w:val="24"/>
          <w:lang w:val="en-US" w:eastAsia="zh-CN"/>
        </w:rPr>
        <w:t xml:space="preserve">08</w:t>
      </w:r>
      <w:r>
        <w:rPr>
          <w:rFonts w:hint="eastAsia" w:ascii="宋体" w:hAnsi="宋体" w:eastAsia="宋体" w:cs="宋体"/>
          <w:sz w:val="24"/>
          <w:szCs w:val="24"/>
        </w:rPr>
        <w:t xml:space="preserve">月</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日9点30分（北京时间）。</w:t>
      </w:r>
      <w:r/>
    </w:p>
    <w:p>
      <w:pPr>
        <w:ind w:firstLine="482"/>
        <w:spacing w:line="480" w:lineRule="exact"/>
        <w:rPr>
          <w:rFonts w:hint="eastAsia" w:ascii="宋体" w:hAnsi="宋体" w:eastAsia="宋体" w:cs="宋体"/>
          <w:sz w:val="24"/>
          <w:szCs w:val="24"/>
        </w:rPr>
      </w:pPr>
      <w:r>
        <w:rPr>
          <w:rFonts w:hint="eastAsia" w:ascii="宋体" w:hAnsi="宋体" w:eastAsia="宋体" w:cs="宋体"/>
          <w:sz w:val="24"/>
          <w:szCs w:val="24"/>
        </w:rPr>
        <w:t xml:space="preserve">2. 地点：“苏采云”政府采购交易系统网上开标大厅。</w:t>
      </w:r>
      <w:r/>
    </w:p>
    <w:p>
      <w:pPr>
        <w:pStyle w:val="798"/>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五、公告期限</w:t>
      </w:r>
      <w:bookmarkEnd w:id="26"/>
      <w:r/>
      <w:bookmarkEnd w:id="27"/>
      <w:r/>
      <w:bookmarkEnd w:id="28"/>
      <w:r/>
      <w:bookmarkEnd w:id="29"/>
      <w:r/>
      <w:bookmarkEnd w:id="30"/>
      <w:r/>
      <w:r/>
    </w:p>
    <w:p>
      <w:pPr>
        <w:ind w:firstLine="540"/>
        <w:spacing w:line="360" w:lineRule="auto"/>
        <w:rPr>
          <w:rFonts w:hint="eastAsia" w:ascii="宋体" w:hAnsi="宋体" w:eastAsia="宋体" w:cs="宋体"/>
          <w:sz w:val="24"/>
          <w:szCs w:val="28"/>
        </w:rPr>
      </w:pPr>
      <w:r>
        <w:rPr>
          <w:rFonts w:hint="eastAsia" w:ascii="宋体" w:hAnsi="宋体" w:eastAsia="宋体" w:cs="宋体"/>
          <w:sz w:val="24"/>
          <w:szCs w:val="28"/>
        </w:rPr>
        <w:t xml:space="preserve">磋商公告及磋商文件公告期限为自本公告发布之日起3个工作日。采购公告发布媒体：宿迁市政府采购网、宿迁市公共资源交易平台、江苏省财政部门指定的媒体、江苏省骆运水利工程管理处网站。</w:t>
      </w:r>
      <w:r/>
    </w:p>
    <w:p>
      <w:pPr>
        <w:pStyle w:val="798"/>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六、其他补充事宜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1.“CA”数字证书办理：“苏采云”系统目前仅支持“苏采云”系统下的政务CA。省内各地区办理的“苏采云”系统下的政务CA全省通用。宿迁地区CA数字证书办理联系方式：18351098172。</w:t>
      </w:r>
      <w:r/>
    </w:p>
    <w:p>
      <w:pPr>
        <w:pStyle w:val="1471"/>
        <w:ind w:firstLine="480"/>
        <w:spacing w:line="360" w:lineRule="auto"/>
        <w:rPr>
          <w:rFonts w:hint="eastAsia" w:ascii="宋体" w:hAnsi="宋体" w:eastAsia="宋体" w:cs="宋体"/>
          <w:sz w:val="24"/>
          <w:szCs w:val="21"/>
          <w:lang w:val="en-US"/>
        </w:rPr>
      </w:pPr>
      <w:r>
        <w:rPr>
          <w:rFonts w:hint="eastAsia" w:ascii="宋体" w:hAnsi="宋体" w:eastAsia="宋体" w:cs="宋体"/>
          <w:sz w:val="24"/>
          <w:szCs w:val="21"/>
          <w:lang w:val="en-US"/>
        </w:rPr>
        <w:t xml:space="preserve">2.宿迁地区“苏采云”技术支持客服电话：0527-84363067、0519-86722806。</w:t>
      </w:r>
      <w:r/>
    </w:p>
    <w:p>
      <w:pPr>
        <w:pStyle w:val="1471"/>
        <w:ind w:firstLine="480"/>
        <w:spacing w:line="360" w:lineRule="auto"/>
        <w:rPr>
          <w:rFonts w:hint="eastAsia" w:ascii="宋体" w:hAnsi="宋体" w:eastAsia="宋体" w:cs="宋体"/>
          <w:sz w:val="24"/>
          <w:szCs w:val="21"/>
          <w:lang w:val="en-US"/>
        </w:rPr>
      </w:pPr>
      <w:r>
        <w:rPr>
          <w:rFonts w:hint="eastAsia" w:ascii="宋体" w:hAnsi="宋体" w:eastAsia="宋体" w:cs="宋体"/>
          <w:sz w:val="24"/>
          <w:szCs w:val="21"/>
          <w:lang w:val="en-US"/>
        </w:rPr>
        <w:t xml:space="preserve">3.如果供应商通过苏采云系统参与政府采购项目，相关操作手册详见链接：</w:t>
      </w:r>
      <w:r>
        <w:rPr>
          <w:rFonts w:hint="eastAsia" w:ascii="宋体" w:hAnsi="宋体" w:eastAsia="宋体" w:cs="宋体"/>
          <w:spacing w:val="-6"/>
          <w:sz w:val="24"/>
          <w:szCs w:val="21"/>
          <w:lang w:val="en-US"/>
        </w:rPr>
        <w:t xml:space="preserve">http://www.ccgp-jiangsu.gov.cn/jiangsu/zlxz/ee/ee3a4bc5a3454aa2b0d9312230633ce9.html。</w:t>
      </w:r>
      <w:r/>
    </w:p>
    <w:p>
      <w:pPr>
        <w:pStyle w:val="798"/>
        <w:ind w:firstLine="321"/>
        <w:spacing w:before="0" w:after="0" w:line="520" w:lineRule="exact"/>
        <w:rPr>
          <w:rFonts w:hint="eastAsia" w:ascii="宋体" w:hAnsi="宋体" w:eastAsia="宋体" w:cs="宋体"/>
          <w:sz w:val="24"/>
        </w:rPr>
      </w:pPr>
      <w:r>
        <w:rPr>
          <w:rFonts w:hint="eastAsia" w:ascii="宋体" w:hAnsi="宋体" w:eastAsia="宋体" w:cs="宋体"/>
          <w:sz w:val="24"/>
        </w:rPr>
        <w:t xml:space="preserve">4.现场勘察及答疑：本项目不组织集中勘察及答疑，供应商如对采购需求有疑问，请咨询采购单位联系人。</w:t>
      </w:r>
      <w:r/>
    </w:p>
    <w:p>
      <w:pPr>
        <w:ind w:firstLine="480"/>
        <w:spacing w:line="360" w:lineRule="auto"/>
        <w:rPr>
          <w:rFonts w:hint="eastAsia" w:ascii="宋体" w:hAnsi="宋体" w:eastAsia="宋体" w:cs="宋体"/>
          <w:sz w:val="24"/>
        </w:rPr>
      </w:pPr>
      <w:r/>
      <w:bookmarkStart w:id="37" w:name="EBde0baac41b354e97b9f9448c2fa9a04c"/>
      <w:r>
        <w:rPr>
          <w:rFonts w:hint="eastAsia" w:ascii="宋体" w:hAnsi="宋体" w:eastAsia="宋体" w:cs="宋体"/>
          <w:sz w:val="24"/>
        </w:rPr>
        <w:t xml:space="preserve">5.供应商信用信息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（1）信用信息查询渠道为：“信用中国”网（www.creditchina.gov.cn）。</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（2）信用信息查询截止时点：资格审查结束前。</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信用信息查询记录和证据留存的方式：由采购人在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（4）信用信息的使用规则：采购人对供应商信用记录进行甄别，对列入失信被执行人、重大税收违法案件当事人名单、政府采购严重违法失信行为记录名单的供应商，拒绝其参与政府采购活动。</w:t>
      </w:r>
      <w:bookmarkEnd w:id="37"/>
      <w:r/>
      <w:r/>
    </w:p>
    <w:p>
      <w:pPr>
        <w:pStyle w:val="798"/>
        <w:ind w:firstLine="321"/>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七、本次磋商联系方式</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江苏省皂河抽水站</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江苏省宿迁市湖滨新区皂河镇境内</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朱振昊</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联系方式：</w:t>
      </w:r>
      <w:bookmarkStart w:id="38" w:name="_Toc28359086"/>
      <w:r/>
      <w:bookmarkStart w:id="39" w:name="_Toc28359009"/>
      <w:r>
        <w:rPr>
          <w:rFonts w:hint="eastAsia" w:ascii="宋体" w:hAnsi="宋体" w:eastAsia="宋体" w:cs="宋体"/>
          <w:sz w:val="24"/>
          <w:szCs w:val="24"/>
          <w:u w:val="single"/>
        </w:rPr>
        <w:t xml:space="preserve">13218056013</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2.采购代理机构信息</w:t>
      </w:r>
      <w:bookmarkEnd w:id="38"/>
      <w:r/>
      <w:bookmarkEnd w:id="39"/>
      <w:r/>
      <w:r/>
    </w:p>
    <w:p>
      <w:pPr>
        <w:ind w:left="1079" w:hanging="300"/>
        <w:jc w:val="left"/>
        <w:spacing w:line="360" w:lineRule="auto"/>
        <w:rPr>
          <w:rFonts w:hint="eastAsia" w:ascii="宋体" w:hAnsi="宋体" w:eastAsia="宋体" w:cs="宋体"/>
          <w:sz w:val="24"/>
          <w:szCs w:val="24"/>
          <w:u w:val="single"/>
        </w:rPr>
      </w:pPr>
      <w:r/>
      <w:bookmarkStart w:id="40" w:name="_Toc28359010"/>
      <w:r/>
      <w:bookmarkStart w:id="4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宿迁市禾盛咨询有限公司</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宿迁市宿城区项里街道思虞路2号</w:t>
      </w:r>
      <w:r/>
    </w:p>
    <w:p>
      <w:pPr>
        <w:ind w:left="1079" w:hanging="30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张杨</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bookmarkEnd w:id="40"/>
      <w:r/>
      <w:bookmarkEnd w:id="41"/>
      <w:r>
        <w:rPr>
          <w:rFonts w:hint="eastAsia" w:ascii="宋体" w:hAnsi="宋体" w:eastAsia="宋体" w:cs="宋体"/>
          <w:sz w:val="24"/>
          <w:szCs w:val="24"/>
          <w:u w:val="single"/>
        </w:rPr>
        <w:t xml:space="preserve">18114399553</w:t>
      </w:r>
      <w:r/>
    </w:p>
    <w:p>
      <w:pPr>
        <w:ind w:firstLine="498"/>
        <w:keepLines/>
        <w:keepNext/>
        <w:spacing w:before="145" w:after="145" w:line="360" w:lineRule="auto"/>
        <w:rPr>
          <w:rFonts w:hint="eastAsia" w:ascii="宋体" w:hAnsi="宋体" w:eastAsia="宋体" w:cs="宋体"/>
          <w:b/>
          <w:bCs/>
          <w:sz w:val="32"/>
          <w:szCs w:val="32"/>
        </w:rPr>
        <w:outlineLvl w:val="2"/>
      </w:pPr>
      <w:r>
        <w:rPr>
          <w:rFonts w:hint="eastAsia" w:ascii="宋体" w:hAnsi="宋体" w:eastAsia="宋体" w:cs="宋体"/>
          <w:b/>
          <w:bCs/>
          <w:sz w:val="32"/>
          <w:szCs w:val="32"/>
        </w:rPr>
        <w:t xml:space="preserve">八、其他</w:t>
      </w:r>
      <w:r/>
    </w:p>
    <w:p>
      <w:pPr>
        <w:ind w:firstLine="48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1.有关本次采购的事项若存在变动或修改，敬请及时关注“宿迁市政府采购网”等平台更正公告。</w:t>
      </w:r>
      <w:r/>
    </w:p>
    <w:p>
      <w:pPr>
        <w:ind w:firstLine="480"/>
        <w:spacing w:line="360" w:lineRule="auto"/>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2.本次磋商不收取磋商保证金。</w:t>
      </w:r>
      <w:r/>
    </w:p>
    <w:p>
      <w:pPr>
        <w:pStyle w:val="797"/>
        <w:jc w:val="center"/>
        <w:spacing w:before="200"/>
        <w:rPr>
          <w:rFonts w:hint="eastAsia" w:ascii="宋体" w:hAnsi="宋体" w:eastAsia="宋体" w:cs="宋体"/>
          <w:sz w:val="44"/>
        </w:rPr>
      </w:pPr>
      <w:r>
        <w:rPr>
          <w:rFonts w:hint="eastAsia" w:ascii="宋体" w:hAnsi="宋体" w:eastAsia="宋体" w:cs="宋体"/>
          <w:sz w:val="44"/>
        </w:rPr>
        <w:br w:type="page" w:clear="all"/>
      </w:r>
      <w:bookmarkStart w:id="42" w:name="_Toc11816"/>
      <w:r/>
      <w:bookmarkStart w:id="43" w:name="_Toc3297"/>
      <w:r/>
      <w:bookmarkStart w:id="44" w:name="_Toc706"/>
      <w:r>
        <w:rPr>
          <w:rFonts w:hint="eastAsia" w:ascii="宋体" w:hAnsi="宋体" w:eastAsia="宋体" w:cs="宋体"/>
          <w:sz w:val="44"/>
        </w:rPr>
        <w:t xml:space="preserve">第二章  供应商须知</w:t>
      </w:r>
      <w:bookmarkEnd w:id="3"/>
      <w:r/>
      <w:bookmarkEnd w:id="42"/>
      <w:r/>
      <w:bookmarkEnd w:id="43"/>
      <w:r/>
      <w:bookmarkEnd w:id="44"/>
      <w:r/>
      <w:bookmarkStart w:id="45" w:name="EBa8c69c4726824205bbf6fbe49f912e2d"/>
      <w:r/>
      <w:bookmarkEnd w:id="45"/>
      <w:r/>
      <w:bookmarkStart w:id="46" w:name="EB154f34bfcea5417199f8cf429c255bfe"/>
      <w:r/>
      <w:bookmarkEnd w:id="46"/>
      <w:r/>
      <w:r/>
    </w:p>
    <w:p>
      <w:pPr>
        <w:pStyle w:val="798"/>
        <w:spacing w:before="0" w:line="520" w:lineRule="exact"/>
        <w:rPr>
          <w:rFonts w:hint="eastAsia" w:ascii="宋体" w:hAnsi="宋体" w:eastAsia="宋体" w:cs="宋体"/>
          <w:b/>
          <w:bCs/>
          <w:sz w:val="32"/>
        </w:rPr>
      </w:pPr>
      <w:r/>
      <w:bookmarkStart w:id="47" w:name="_Toc141869961"/>
      <w:r>
        <w:rPr>
          <w:rFonts w:hint="eastAsia" w:ascii="宋体" w:hAnsi="宋体" w:eastAsia="宋体" w:cs="宋体"/>
          <w:b/>
          <w:bCs/>
          <w:sz w:val="32"/>
        </w:rPr>
        <w:t xml:space="preserve">供应商须知前附表：</w:t>
      </w:r>
      <w:bookmarkEnd w:id="47"/>
      <w:r/>
      <w:r/>
    </w:p>
    <w:tbl>
      <w:tblPr>
        <w:tblStyle w:val="807"/>
        <w:tblW w:w="89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1970"/>
        <w:gridCol w:w="5935"/>
      </w:tblGrid>
      <w:tr>
        <w:trPr>
          <w:trHeight w:val="802"/>
        </w:trPr>
        <w:tc>
          <w:tcPr>
            <w:tcW w:w="1093"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970"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W w:w="5935"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rHeight w:val="793"/>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项目类别</w:t>
            </w:r>
            <w:r/>
          </w:p>
        </w:tc>
        <w:tc>
          <w:tcPr>
            <w:tcW w:w="5935" w:type="dxa"/>
            <w:vAlign w:val="center"/>
            <w:textDirection w:val="lrTb"/>
            <w:noWrap w:val="false"/>
          </w:tcPr>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48" w:name="EB9a5853ee094f4f0ea6ec3169265f6f2c"/>
            <w:r>
              <w:rPr>
                <w:rFonts w:hint="eastAsia" w:ascii="宋体" w:hAnsi="宋体" w:eastAsia="宋体" w:cs="宋体"/>
                <w:sz w:val="24"/>
                <w:szCs w:val="24"/>
              </w:rPr>
              <w:t xml:space="preserve">属性按以下第</w:t>
            </w:r>
            <w:r>
              <w:rPr>
                <w:rFonts w:hint="eastAsia" w:ascii="宋体" w:hAnsi="宋体" w:eastAsia="宋体" w:cs="宋体"/>
                <w:b/>
                <w:bCs/>
                <w:sz w:val="24"/>
                <w:u w:val="single"/>
              </w:rPr>
              <w:t xml:space="preserve"> 1 </w:t>
            </w:r>
            <w:r>
              <w:rPr>
                <w:rFonts w:hint="eastAsia" w:ascii="宋体" w:hAnsi="宋体" w:eastAsia="宋体" w:cs="宋体"/>
                <w:sz w:val="24"/>
                <w:szCs w:val="24"/>
              </w:rPr>
              <w:t xml:space="preserve">种确定：</w:t>
            </w:r>
            <w:r/>
          </w:p>
          <w:p>
            <w:p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bookmarkEnd w:id="48"/>
            <w:r>
              <w:rPr>
                <w:rFonts w:hint="eastAsia" w:ascii="宋体" w:hAnsi="宋体" w:eastAsia="宋体" w:cs="宋体"/>
                <w:sz w:val="24"/>
                <w:szCs w:val="24"/>
              </w:rPr>
              <w:t xml:space="preserve">.货物</w:t>
            </w:r>
            <w:bookmarkStart w:id="49" w:name="EBd5c6c026f9674c39b21b31ecd0c1e7fa"/>
            <w:r>
              <w:rPr>
                <w:rFonts w:hint="eastAsia" w:ascii="宋体" w:hAnsi="宋体" w:eastAsia="宋体" w:cs="宋体"/>
                <w:sz w:val="24"/>
                <w:szCs w:val="24"/>
              </w:rPr>
              <w:t xml:space="preserve">采购；2.</w:t>
            </w:r>
            <w:bookmarkEnd w:id="49"/>
            <w:r>
              <w:rPr>
                <w:rFonts w:hint="eastAsia" w:ascii="宋体" w:hAnsi="宋体" w:eastAsia="宋体" w:cs="宋体"/>
                <w:sz w:val="24"/>
                <w:szCs w:val="24"/>
              </w:rPr>
              <w:t xml:space="preserve">服务</w:t>
            </w:r>
            <w:bookmarkStart w:id="50" w:name="EBf7d2a4f44ecb4166a93ea852e73be69f"/>
            <w:r>
              <w:rPr>
                <w:rFonts w:hint="eastAsia" w:ascii="宋体" w:hAnsi="宋体" w:eastAsia="宋体" w:cs="宋体"/>
                <w:sz w:val="24"/>
                <w:szCs w:val="24"/>
              </w:rPr>
              <w:t xml:space="preserve">采购；3.</w:t>
            </w:r>
            <w:bookmarkEnd w:id="50"/>
            <w:r>
              <w:rPr>
                <w:rFonts w:hint="eastAsia" w:ascii="宋体" w:hAnsi="宋体" w:eastAsia="宋体" w:cs="宋体"/>
                <w:sz w:val="24"/>
                <w:szCs w:val="24"/>
              </w:rPr>
              <w:t xml:space="preserve">工程采购。</w:t>
            </w:r>
            <w:r/>
          </w:p>
        </w:tc>
      </w:tr>
      <w:tr>
        <w:trPr>
          <w:trHeight w:val="402"/>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响应有效期</w:t>
            </w:r>
            <w:r/>
          </w:p>
        </w:tc>
        <w:tc>
          <w:tcPr>
            <w:tcW w:w="5935" w:type="dxa"/>
            <w:vAlign w:val="center"/>
            <w:textDirection w:val="lrTb"/>
            <w:noWrap w:val="false"/>
          </w:tcPr>
          <w:p>
            <w:pPr>
              <w:jc w:val="left"/>
              <w:spacing w:line="360" w:lineRule="exact"/>
              <w:rPr>
                <w:rFonts w:hint="eastAsia" w:ascii="宋体" w:hAnsi="宋体" w:eastAsia="宋体" w:cs="宋体"/>
                <w:sz w:val="24"/>
                <w:szCs w:val="24"/>
              </w:rPr>
            </w:pPr>
            <w:r/>
            <w:bookmarkStart w:id="51" w:name="EBf2540e281f614ac8b4efc83b6e64d4d2"/>
            <w:r>
              <w:rPr>
                <w:rFonts w:hint="eastAsia" w:ascii="宋体" w:hAnsi="宋体" w:eastAsia="宋体" w:cs="宋体"/>
                <w:sz w:val="24"/>
                <w:szCs w:val="24"/>
              </w:rPr>
              <w:t xml:space="preserve">60</w:t>
            </w:r>
            <w:bookmarkEnd w:id="51"/>
            <w:r>
              <w:rPr>
                <w:rFonts w:hint="eastAsia" w:ascii="宋体" w:hAnsi="宋体" w:eastAsia="宋体" w:cs="宋体"/>
                <w:sz w:val="24"/>
                <w:szCs w:val="24"/>
              </w:rPr>
              <w:t xml:space="preserve">日（从提交响应文件截止之日起算）</w:t>
            </w:r>
            <w:r/>
          </w:p>
        </w:tc>
      </w:tr>
      <w:tr>
        <w:trPr>
          <w:trHeight w:val="402"/>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响应文件份数</w:t>
            </w:r>
            <w:r/>
          </w:p>
        </w:tc>
        <w:tc>
          <w:tcPr>
            <w:tcW w:w="5935"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提交加密电子响应文件1份。</w:t>
            </w:r>
            <w:r/>
          </w:p>
        </w:tc>
      </w:tr>
      <w:tr>
        <w:trPr>
          <w:trHeight w:val="793"/>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W w:w="5935"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2358"/>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W w:w="5935"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 </w:t>
            </w:r>
            <w:r>
              <w:rPr>
                <w:rFonts w:hint="eastAsia" w:ascii="宋体" w:hAnsi="宋体" w:eastAsia="宋体" w:cs="宋体"/>
                <w:b/>
                <w:bCs/>
                <w:sz w:val="24"/>
                <w:u w:val="single"/>
              </w:rPr>
              <w:t xml:space="preserve">2</w:t>
            </w:r>
            <w:r>
              <w:rPr>
                <w:rFonts w:hint="eastAsia" w:ascii="宋体" w:hAnsi="宋体" w:eastAsia="宋体" w:cs="宋体"/>
                <w:sz w:val="24"/>
                <w:szCs w:val="24"/>
              </w:rPr>
              <w:t xml:space="preserve">种方式确定：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1.接受进口产品。</w:t>
            </w:r>
            <w:bookmarkStart w:id="52" w:name="OLE_LINK8"/>
            <w:r>
              <w:rPr>
                <w:rFonts w:hint="eastAsia" w:ascii="宋体" w:hAnsi="宋体" w:eastAsia="宋体" w:cs="宋体"/>
                <w:sz w:val="24"/>
              </w:rPr>
              <w:t xml:space="preserve">应当符合《政</w:t>
            </w:r>
            <w:bookmarkStart w:id="53" w:name="OLE_LINK1"/>
            <w:r>
              <w:rPr>
                <w:rFonts w:hint="eastAsia" w:ascii="宋体" w:hAnsi="宋体" w:eastAsia="宋体" w:cs="宋体"/>
                <w:sz w:val="24"/>
              </w:rPr>
              <w:t xml:space="preserve">府采购进口产品管理办法</w:t>
            </w:r>
            <w:bookmarkEnd w:id="53"/>
            <w:r>
              <w:rPr>
                <w:rFonts w:hint="eastAsia" w:ascii="宋体" w:hAnsi="宋体" w:eastAsia="宋体" w:cs="宋体"/>
                <w:sz w:val="24"/>
              </w:rPr>
              <w:t xml:space="preserve">》（财库〔2007〕119号）《关于政府采购进口产品管理有关问题的通知》（财办库〔2008〕248号）等相关规定</w:t>
            </w:r>
            <w:r>
              <w:rPr>
                <w:rFonts w:hint="eastAsia" w:ascii="宋体" w:hAnsi="宋体" w:eastAsia="宋体" w:cs="宋体"/>
                <w:sz w:val="24"/>
                <w:szCs w:val="24"/>
              </w:rPr>
              <w:t xml:space="preserve">；</w:t>
            </w:r>
            <w:bookmarkEnd w:id="52"/>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 不接受进口产品。</w:t>
            </w:r>
            <w:r/>
          </w:p>
        </w:tc>
      </w:tr>
      <w:tr>
        <w:trPr>
          <w:trHeight w:val="793"/>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评审方法</w:t>
            </w:r>
            <w:r/>
          </w:p>
        </w:tc>
        <w:tc>
          <w:tcPr>
            <w:tcW w:w="5935" w:type="dxa"/>
            <w:vAlign w:val="center"/>
            <w:textDirection w:val="lrTb"/>
            <w:noWrap w:val="false"/>
          </w:tcPr>
          <w:p>
            <w:pPr>
              <w:pStyle w:val="1067"/>
              <w:spacing w:line="360" w:lineRule="exact"/>
              <w:rPr>
                <w:rFonts w:hint="eastAsia" w:ascii="宋体" w:hAnsi="宋体" w:eastAsia="宋体" w:cs="宋体"/>
                <w:sz w:val="24"/>
              </w:rPr>
            </w:pPr>
            <w:r>
              <w:rPr>
                <w:rFonts w:hint="eastAsia" w:ascii="宋体" w:hAnsi="宋体" w:eastAsia="宋体" w:cs="宋体"/>
                <w:sz w:val="24"/>
                <w:szCs w:val="24"/>
              </w:rPr>
              <w:t xml:space="preserve">综合评分法。具体细则详见磋商文件评审方法和评审标准部分。</w:t>
            </w:r>
            <w:r/>
          </w:p>
        </w:tc>
      </w:tr>
      <w:tr>
        <w:trPr>
          <w:trHeight w:val="1184"/>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970" w:type="dxa"/>
            <w:vAlign w:val="center"/>
            <w:textDirection w:val="lrTb"/>
            <w:noWrap w:val="false"/>
          </w:tcPr>
          <w:p>
            <w:pPr>
              <w:jc w:val="center"/>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确定成交人</w:t>
            </w:r>
            <w:r/>
          </w:p>
        </w:tc>
        <w:tc>
          <w:tcPr>
            <w:tcW w:w="5935" w:type="dxa"/>
            <w:vAlign w:val="center"/>
            <w:textDirection w:val="lrTb"/>
            <w:noWrap w:val="false"/>
          </w:tcPr>
          <w:p>
            <w:pPr>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按以下第</w:t>
            </w:r>
            <w:r>
              <w:rPr>
                <w:rFonts w:hint="eastAsia" w:ascii="宋体" w:hAnsi="宋体" w:eastAsia="宋体" w:cs="宋体"/>
                <w:b/>
                <w:bCs/>
                <w:sz w:val="24"/>
                <w:highlight w:val="none"/>
                <w:u w:val="single"/>
              </w:rPr>
              <w:t xml:space="preserve">1 </w:t>
            </w:r>
            <w:r>
              <w:rPr>
                <w:rFonts w:hint="eastAsia" w:ascii="宋体" w:hAnsi="宋体" w:eastAsia="宋体" w:cs="宋体"/>
                <w:sz w:val="24"/>
                <w:szCs w:val="24"/>
                <w:highlight w:val="none"/>
              </w:rPr>
              <w:t xml:space="preserve">种方式确定成交人：</w:t>
            </w:r>
            <w:r/>
          </w:p>
          <w:p>
            <w:pPr>
              <w:numPr>
                <w:ilvl w:val="0"/>
                <w:numId w:val="4"/>
              </w:numPr>
              <w:jc w:val="left"/>
              <w:spacing w:line="360" w:lineRule="exact"/>
              <w:widowControl/>
              <w:rPr>
                <w:rFonts w:hint="eastAsia" w:ascii="宋体" w:hAnsi="宋体" w:eastAsia="宋体" w:cs="宋体"/>
                <w:sz w:val="24"/>
                <w:szCs w:val="24"/>
                <w:highlight w:val="none"/>
              </w:rPr>
            </w:pPr>
            <w:r>
              <w:rPr>
                <w:rFonts w:hint="eastAsia" w:ascii="Times New Roman" w:hAnsi="Times New Roman" w:cs="仿宋"/>
                <w:sz w:val="24"/>
                <w:szCs w:val="24"/>
              </w:rPr>
              <w:t xml:space="preserve">采购人按规定在磋商小组推荐的竞标候选人中确定成交人</w:t>
            </w:r>
            <w:r>
              <w:rPr>
                <w:rFonts w:hint="eastAsia" w:ascii="宋体" w:hAnsi="宋体" w:eastAsia="宋体" w:cs="宋体"/>
                <w:sz w:val="24"/>
                <w:szCs w:val="24"/>
                <w:highlight w:val="none"/>
              </w:rPr>
              <w:t xml:space="preserve">；</w:t>
            </w:r>
            <w:r/>
          </w:p>
          <w:p>
            <w:pPr>
              <w:numPr>
                <w:ilvl w:val="0"/>
                <w:numId w:val="0"/>
              </w:numPr>
              <w:jc w:val="left"/>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2.采购人授权磋商小组直接确定成交人；</w:t>
            </w:r>
            <w:r/>
          </w:p>
        </w:tc>
      </w:tr>
      <w:tr>
        <w:trPr>
          <w:trHeight w:val="1967"/>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W w:w="5935" w:type="dxa"/>
            <w:vAlign w:val="center"/>
            <w:textDirection w:val="lrTb"/>
            <w:noWrap w:val="false"/>
          </w:tcPr>
          <w:p>
            <w:pPr>
              <w:jc w:val="left"/>
              <w:spacing w:line="360" w:lineRule="exact"/>
              <w:widowControl/>
              <w:rPr>
                <w:rFonts w:hint="eastAsia" w:ascii="宋体" w:hAnsi="宋体" w:eastAsia="宋体" w:cs="宋体"/>
                <w:sz w:val="24"/>
                <w:szCs w:val="24"/>
              </w:rPr>
            </w:pPr>
            <w:r/>
            <w:bookmarkStart w:id="54" w:name="EBebac1462c5d9459fbda8a75065c2455d"/>
            <w:r>
              <w:rPr>
                <w:rFonts w:hint="eastAsia" w:ascii="宋体" w:hAnsi="宋体" w:eastAsia="宋体" w:cs="宋体"/>
                <w:sz w:val="24"/>
                <w:szCs w:val="24"/>
              </w:rPr>
              <w:t xml:space="preserve">本项目的非主体、非关键性工作是否允许分包按以下第</w:t>
            </w:r>
            <w:r>
              <w:rPr>
                <w:rFonts w:hint="eastAsia" w:ascii="宋体" w:hAnsi="宋体" w:eastAsia="宋体" w:cs="宋体"/>
                <w:sz w:val="24"/>
                <w:szCs w:val="24"/>
                <w:u w:val="single"/>
              </w:rPr>
              <w:t xml:space="preserve"> </w:t>
            </w:r>
            <w:r>
              <w:rPr>
                <w:rFonts w:hint="eastAsia" w:ascii="宋体" w:hAnsi="宋体" w:eastAsia="宋体" w:cs="宋体"/>
                <w:b/>
                <w:bCs/>
                <w:sz w:val="24"/>
                <w:u w:val="single"/>
              </w:rPr>
              <w:t xml:space="preserve">2</w:t>
            </w:r>
            <w:r>
              <w:rPr>
                <w:rFonts w:hint="eastAsia" w:ascii="宋体" w:hAnsi="宋体" w:eastAsia="宋体" w:cs="宋体"/>
                <w:sz w:val="24"/>
                <w:szCs w:val="24"/>
              </w:rPr>
              <w:t xml:space="preserve">种方式确定：</w:t>
            </w:r>
            <w:r/>
          </w:p>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bookmarkEnd w:id="54"/>
            <w:r>
              <w:rPr>
                <w:rFonts w:hint="eastAsia" w:ascii="宋体" w:hAnsi="宋体" w:eastAsia="宋体" w:cs="宋体"/>
                <w:sz w:val="24"/>
                <w:szCs w:val="24"/>
              </w:rPr>
              <w:t xml:space="preserve">允许分包，</w:t>
            </w:r>
            <w:bookmarkStart w:id="55"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55"/>
            <w:r>
              <w:rPr>
                <w:rFonts w:hint="eastAsia" w:ascii="宋体" w:hAnsi="宋体" w:eastAsia="宋体" w:cs="宋体"/>
                <w:sz w:val="24"/>
                <w:szCs w:val="24"/>
              </w:rPr>
              <w:t xml:space="preserve">无</w:t>
            </w:r>
            <w:r/>
          </w:p>
          <w:p>
            <w:pPr>
              <w:jc w:val="left"/>
              <w:spacing w:line="360" w:lineRule="exact"/>
              <w:widowControl/>
              <w:rPr>
                <w:rFonts w:hint="eastAsia" w:ascii="宋体" w:hAnsi="宋体" w:eastAsia="宋体" w:cs="宋体"/>
                <w:sz w:val="24"/>
              </w:rPr>
            </w:pPr>
            <w:r>
              <w:rPr>
                <w:rFonts w:hint="eastAsia" w:ascii="宋体" w:hAnsi="宋体" w:eastAsia="宋体" w:cs="宋体"/>
                <w:sz w:val="24"/>
                <w:szCs w:val="24"/>
              </w:rPr>
              <w:t xml:space="preserve">2.不允许分包。</w:t>
            </w:r>
            <w:r/>
          </w:p>
        </w:tc>
      </w:tr>
      <w:tr>
        <w:trPr>
          <w:trHeight w:val="1184"/>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代理费用收取方式及标准</w:t>
            </w:r>
            <w:r/>
          </w:p>
        </w:tc>
        <w:tc>
          <w:tcPr>
            <w:tcW w:w="5935"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本项目代理服务费由</w:t>
            </w:r>
            <w:r>
              <w:rPr>
                <w:rFonts w:hint="eastAsia" w:ascii="宋体" w:hAnsi="宋体" w:cs="宋体"/>
                <w:sz w:val="24"/>
                <w:szCs w:val="24"/>
                <w:lang w:val="en-US" w:eastAsia="zh-CN"/>
              </w:rPr>
              <w:t xml:space="preserve">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支付，收费标准：</w:t>
            </w:r>
            <w:r>
              <w:rPr>
                <w:rFonts w:hint="eastAsia" w:ascii="宋体" w:hAnsi="宋体" w:eastAsia="宋体" w:cs="宋体"/>
                <w:sz w:val="24"/>
                <w:szCs w:val="24"/>
                <w:lang w:val="zh-CN"/>
              </w:rPr>
              <w:t xml:space="preserve">按国家计委计价格〔2002〕1980 号文件规定标准向采购代理单位支付代理服务费。支付方式通过转账方式。</w:t>
            </w:r>
            <w:r>
              <w:rPr>
                <w:rFonts w:hint="eastAsia" w:ascii="宋体" w:hAnsi="宋体" w:eastAsia="宋体" w:cs="宋体"/>
                <w:sz w:val="24"/>
                <w:szCs w:val="24"/>
              </w:rPr>
              <w:t xml:space="preserve"> </w:t>
            </w:r>
            <w:r/>
          </w:p>
        </w:tc>
      </w:tr>
      <w:tr>
        <w:trPr>
          <w:trHeight w:val="1195"/>
        </w:trPr>
        <w:tc>
          <w:tcPr>
            <w:tcW w:w="1093"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970"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其他</w:t>
            </w:r>
            <w:r/>
          </w:p>
        </w:tc>
        <w:tc>
          <w:tcPr>
            <w:tcW w:w="5935" w:type="dxa"/>
            <w:vAlign w:val="center"/>
            <w:textDirection w:val="lrTb"/>
            <w:noWrap w:val="false"/>
          </w:tcPr>
          <w:p>
            <w:p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rPr>
      </w:pPr>
      <w:r/>
      <w:bookmarkStart w:id="56" w:name="EBc9d8a0a6c333409599b28034cbc893d2"/>
      <w:r/>
      <w:bookmarkEnd w:id="56"/>
      <w:r/>
      <w:bookmarkStart w:id="57" w:name="_Toc141869962"/>
      <w:r/>
      <w:r/>
    </w:p>
    <w:p>
      <w:pPr>
        <w:jc w:val="left"/>
        <w:widowControl/>
        <w:rPr>
          <w:rFonts w:hint="eastAsia" w:ascii="宋体" w:hAnsi="宋体" w:eastAsia="宋体" w:cs="宋体"/>
          <w:b/>
          <w:bCs/>
          <w:sz w:val="32"/>
        </w:rPr>
      </w:pPr>
      <w:r>
        <w:rPr>
          <w:rFonts w:hint="eastAsia" w:ascii="宋体" w:hAnsi="宋体" w:eastAsia="宋体" w:cs="宋体"/>
          <w:b/>
          <w:bCs/>
          <w:sz w:val="32"/>
        </w:rPr>
        <w:t xml:space="preserve">一、总 则</w:t>
      </w:r>
      <w:bookmarkEnd w:id="5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1、采购人式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本次采购采取竞争性磋商方式。</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2、合格的供应商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2.1合格的供应商必须符合磋商文件第一章《投标邀请》第二条及供应商须知前附表相关规定，且具备完成本项目的能力，成交后不允许转包。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2.2满足本文件实质性要求的规定。</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3、适用法律</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3.1本次招标及由招标产生的合同受中华人民共和国的相关</w:t>
      </w:r>
      <w:r>
        <w:rPr>
          <w:rFonts w:hint="eastAsia" w:ascii="宋体" w:hAnsi="宋体" w:cs="宋体"/>
          <w:sz w:val="24"/>
          <w:lang w:eastAsia="zh-CN"/>
        </w:rPr>
        <w:t xml:space="preserve">法律法规</w:t>
      </w:r>
      <w:r>
        <w:rPr>
          <w:rFonts w:hint="eastAsia" w:ascii="宋体" w:hAnsi="宋体" w:eastAsia="宋体" w:cs="宋体"/>
          <w:sz w:val="24"/>
        </w:rPr>
        <w:t xml:space="preserve">制约和保护。</w:t>
      </w:r>
      <w:r/>
    </w:p>
    <w:p>
      <w:pPr>
        <w:ind w:firstLine="482"/>
        <w:spacing w:line="480" w:lineRule="exact"/>
        <w:rPr>
          <w:rFonts w:hint="eastAsia" w:ascii="宋体" w:hAnsi="宋体" w:eastAsia="宋体" w:cs="宋体"/>
          <w:sz w:val="24"/>
        </w:rPr>
      </w:pPr>
      <w:r>
        <w:rPr>
          <w:rFonts w:hint="eastAsia" w:ascii="宋体" w:hAnsi="宋体" w:eastAsia="宋体" w:cs="宋体"/>
          <w:sz w:val="24"/>
        </w:rPr>
        <w:t xml:space="preserve">3.2在本项目政府采购活动过程中，如果所执行的标准有更新的，按照最新标准执行。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4、费用</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供应商应自行承担所有参加磋商活动有关的费用。</w:t>
      </w:r>
      <w:r/>
    </w:p>
    <w:p>
      <w:pPr>
        <w:pStyle w:val="798"/>
        <w:spacing w:before="0" w:after="0" w:line="520" w:lineRule="exact"/>
        <w:rPr>
          <w:rFonts w:hint="eastAsia" w:ascii="宋体" w:hAnsi="宋体" w:eastAsia="宋体" w:cs="宋体"/>
          <w:b/>
          <w:bCs/>
          <w:sz w:val="32"/>
        </w:rPr>
      </w:pPr>
      <w:r/>
      <w:bookmarkStart w:id="58" w:name="_Toc141869963"/>
      <w:r>
        <w:rPr>
          <w:rFonts w:hint="eastAsia" w:ascii="宋体" w:hAnsi="宋体" w:eastAsia="宋体" w:cs="宋体"/>
          <w:b/>
          <w:bCs/>
          <w:sz w:val="32"/>
        </w:rPr>
        <w:t xml:space="preserve">二、竞争性磋商文件</w:t>
      </w:r>
      <w:bookmarkEnd w:id="58"/>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5、磋商文件构成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5.1磋商文件由以下部分组成：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第一章：磋商邀请；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第二章：供应商须知；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第三章：评审方法与评审标准；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第五章：合同格式及条款（草案）；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第六章：响应文件格式。</w:t>
      </w:r>
      <w:r/>
    </w:p>
    <w:p>
      <w:pPr>
        <w:ind w:firstLine="480"/>
        <w:spacing w:line="480" w:lineRule="exact"/>
        <w:rPr>
          <w:rFonts w:hint="eastAsia" w:ascii="宋体" w:hAnsi="宋体" w:eastAsia="宋体" w:cs="宋体"/>
          <w:sz w:val="24"/>
        </w:rPr>
      </w:pPr>
      <w:r/>
      <w:bookmarkStart w:id="59" w:name="_Toc14692"/>
      <w:r/>
      <w:bookmarkStart w:id="60" w:name="_Toc3418"/>
      <w:r/>
      <w:bookmarkStart w:id="61" w:name="_Toc141869971"/>
      <w:r/>
      <w:bookmarkStart w:id="62" w:name="_Toc21941"/>
      <w:r>
        <w:rPr>
          <w:rFonts w:hint="eastAsia" w:ascii="宋体" w:hAnsi="宋体" w:eastAsia="宋体" w:cs="宋体"/>
          <w:sz w:val="24"/>
        </w:rPr>
        <w:t xml:space="preserve">请仔细检查磋商文件是否齐全，如有缺漏请立即与代理机构联系解决。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5.2供应商应认真阅读磋商文件中所有的事项、格式、条款和规范等要求，按磋商文件要求和规定编制响应文件。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6、政府采购政策功能落实</w:t>
      </w:r>
      <w:r/>
    </w:p>
    <w:p>
      <w:pPr>
        <w:ind w:firstLine="482"/>
        <w:spacing w:line="480" w:lineRule="exact"/>
        <w:rPr>
          <w:rFonts w:hint="eastAsia" w:ascii="宋体" w:hAnsi="宋体" w:eastAsia="宋体" w:cs="宋体"/>
          <w:b/>
          <w:bCs/>
          <w:sz w:val="24"/>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u w:val="single"/>
        </w:rPr>
        <w:t xml:space="preserve">6.1/6.2/6.3/6.4.1</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6.1中小企业政策</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本项目按第</w:t>
      </w:r>
      <w:r>
        <w:rPr>
          <w:rFonts w:hint="eastAsia" w:ascii="宋体" w:hAnsi="宋体" w:eastAsia="宋体" w:cs="宋体"/>
          <w:sz w:val="24"/>
          <w:u w:val="single"/>
        </w:rPr>
        <w:t xml:space="preserve">（2）</w:t>
      </w:r>
      <w:r>
        <w:rPr>
          <w:rFonts w:hint="eastAsia" w:ascii="宋体" w:hAnsi="宋体" w:eastAsia="宋体" w:cs="宋体"/>
          <w:sz w:val="24"/>
        </w:rPr>
        <w:t xml:space="preserve">种政策落实：</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（1）本项目专门面向中小企业（含监狱与戒毒企业、残疾人福利企业）采购。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（2）对符合规定情形的小微企业报价给予</w:t>
      </w:r>
      <w:r>
        <w:rPr>
          <w:rFonts w:hint="eastAsia" w:ascii="宋体" w:hAnsi="宋体" w:eastAsia="宋体" w:cs="宋体"/>
          <w:b/>
          <w:bCs/>
          <w:sz w:val="24"/>
          <w:u w:val="single"/>
        </w:rPr>
        <w:t xml:space="preserve">10%</w:t>
      </w:r>
      <w:r>
        <w:rPr>
          <w:rFonts w:hint="eastAsia" w:ascii="宋体" w:hAnsi="宋体" w:eastAsia="宋体" w:cs="宋体"/>
          <w:sz w:val="24"/>
        </w:rPr>
        <w:t xml:space="preserve">扣除，用扣除后的价格参加评审。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sz w:val="24"/>
          <w:u w:val="single"/>
        </w:rPr>
        <w:t xml:space="preserve">5</w:t>
      </w:r>
      <w:r>
        <w:rPr>
          <w:rFonts w:hint="eastAsia" w:ascii="宋体" w:hAnsi="宋体" w:eastAsia="宋体" w:cs="宋体"/>
          <w:sz w:val="24"/>
        </w:rPr>
        <w:t xml:space="preserve">%（工程项目为</w:t>
      </w:r>
      <w:r>
        <w:rPr>
          <w:rFonts w:hint="eastAsia" w:ascii="宋体" w:hAnsi="宋体" w:eastAsia="宋体" w:cs="宋体"/>
          <w:sz w:val="24"/>
          <w:u w:val="single"/>
        </w:rPr>
        <w:t xml:space="preserve">2</w:t>
      </w:r>
      <w:r>
        <w:rPr>
          <w:rFonts w:hint="eastAsia" w:ascii="宋体" w:hAnsi="宋体" w:eastAsia="宋体" w:cs="宋体"/>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⑤联合体各方均为小型、微型企业（残疾人福利单位、监狱企业）的，联合体享受10%价格扣除，用扣除后的价格参与评审。</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6.2采购本国产品的支持政策</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6.2.1 </w:t>
      </w:r>
      <w:r>
        <w:rPr>
          <w:rFonts w:hint="eastAsia" w:ascii="宋体" w:hAnsi="宋体" w:eastAsia="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ff0000"/>
          <w:sz w:val="24"/>
        </w:rPr>
      </w:pPr>
      <w:r>
        <w:rPr>
          <w:rFonts w:hint="eastAsia" w:ascii="宋体" w:hAnsi="宋体" w:eastAsia="宋体" w:cs="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6.2.2本项目政府采购活动中既有本国产品又有非本国产品参与竞争的，</w:t>
      </w:r>
      <w:bookmarkStart w:id="63" w:name="OLE_LINK7"/>
      <w:r>
        <w:rPr>
          <w:rFonts w:hint="eastAsia" w:ascii="宋体" w:hAnsi="宋体" w:eastAsia="宋体" w:cs="宋体"/>
          <w:sz w:val="24"/>
        </w:rPr>
        <w:t xml:space="preserve">依法对本国产品给予价格评审优惠，对本国产品的报价给予</w:t>
      </w:r>
      <w:r>
        <w:rPr>
          <w:rFonts w:hint="eastAsia" w:ascii="宋体" w:hAnsi="宋体" w:eastAsia="宋体" w:cs="宋体"/>
          <w:b w:val="0"/>
          <w:bCs w:val="0"/>
          <w:sz w:val="24"/>
          <w:u w:val="single"/>
        </w:rPr>
        <w:t xml:space="preserve">20%</w:t>
      </w:r>
      <w:r>
        <w:rPr>
          <w:rFonts w:hint="eastAsia" w:ascii="宋体" w:hAnsi="宋体" w:eastAsia="宋体" w:cs="宋体"/>
          <w:sz w:val="24"/>
        </w:rPr>
        <w:t xml:space="preserve">的价格扣除，用扣除后的价格参与评审。</w:t>
      </w:r>
      <w:bookmarkEnd w:id="63"/>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6.2.6 评标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6.3节能产品、环境标志产品</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6.3.2采购人拟采购的产品属于优先采购的节能产品、环境标志产品清单范围的，按以下条件优先采购：</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采用综合评分法的项目，对提供有效节能产品、环境标志证书产品的供应商加分。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采用最低评标价法的项目，同等条件下优先推荐提供有效节能产品、环境标志产品证书多的供应商为成交人。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6.4.1商品包装、快递包装政府采购需求标准（试行）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按照财政部印发的《商品包装政府采购需求标准（试行）</w:t>
      </w:r>
      <w:r>
        <w:rPr>
          <w:rFonts w:hint="eastAsia" w:ascii="宋体" w:hAnsi="宋体" w:cs="宋体"/>
          <w:sz w:val="24"/>
          <w:lang w:eastAsia="zh-CN"/>
        </w:rPr>
        <w:t xml:space="preserve">》和</w:t>
      </w:r>
      <w:r>
        <w:rPr>
          <w:rFonts w:hint="eastAsia" w:ascii="宋体" w:hAnsi="宋体" w:eastAsia="宋体" w:cs="宋体"/>
          <w:sz w:val="24"/>
        </w:rPr>
        <w:t xml:space="preserve">《快递包装政府采购需求标准（试行）》要求执行，本项目商品包装和快递包装的具体需求详见第四章采购需求。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6.4.2绿色数据中心政府采购需求标准（试行）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6.4.3绿色建材政府采购需求标准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6.5采购产品中涉及涂料、胶黏剂、油墨、清洗剂等挥发性有机物产品的，属于强制性标准的，供应商应当提供符合国家和江苏省相关VOCs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7、磋商文件的澄清或修改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7.1采购人或者采购代理机构可以以更正公告的形式，对已发出的磋商文件进行必要的澄清或者修改。澄清或者修改的内容可能影响响应文件编制的，采购人或者采购代理机构应当在投标截止时间5日前发出；不足5日的，采购人、采购代理机构应当顺延提交响应文件的截止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7.2磋商文件的澄清、修改将在原公告媒体上发布更正公告，澄清、修改文件均作为磋商文件的组成部分，并对供应商具有约束力。</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7.3供应商应及时登录“苏采云”系统获取、查看澄清答疑文件（修改后的磋商文件），否则造成的相关责任由供应商承担。</w:t>
      </w:r>
      <w:r/>
    </w:p>
    <w:p>
      <w:pPr>
        <w:pStyle w:val="798"/>
        <w:ind w:firstLine="321"/>
        <w:spacing w:before="0" w:after="0" w:line="480" w:lineRule="exact"/>
        <w:rPr>
          <w:rFonts w:hint="eastAsia" w:ascii="宋体" w:hAnsi="宋体" w:eastAsia="宋体" w:cs="宋体"/>
          <w:bCs/>
        </w:rPr>
      </w:pPr>
      <w:r/>
      <w:bookmarkStart w:id="64" w:name="_Toc11461"/>
      <w:r/>
      <w:bookmarkStart w:id="65" w:name="_Toc81575157"/>
      <w:r/>
      <w:bookmarkStart w:id="66" w:name="_Toc81575194"/>
      <w:r/>
      <w:bookmarkStart w:id="67" w:name="_Toc5574"/>
      <w:r>
        <w:rPr>
          <w:rFonts w:hint="eastAsia" w:ascii="宋体" w:hAnsi="宋体" w:eastAsia="宋体" w:cs="宋体"/>
          <w:bCs/>
        </w:rPr>
        <w:t xml:space="preserve">三、响应文件的编制</w:t>
      </w:r>
      <w:bookmarkEnd w:id="64"/>
      <w:r/>
      <w:bookmarkEnd w:id="65"/>
      <w:r/>
      <w:bookmarkEnd w:id="66"/>
      <w:r/>
      <w:bookmarkEnd w:id="6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8、响应文件的编制要求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8.1供应商应仔细阅读“磋商文件”的所有内容，保证所提供的全部资料的真实性、完整性及有效性，以使其投标对“磋商文件”作出实质性响应。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8.2响应文件要求加盖电子签章之处，应按要求加盖供应商数字证书的电子签章。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8.3本项目通过“苏采云”系统进行电子投标，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9、响应文件构成</w:t>
      </w:r>
      <w:r/>
    </w:p>
    <w:p>
      <w:pPr>
        <w:ind w:firstLine="480"/>
        <w:spacing w:line="480" w:lineRule="exact"/>
        <w:rPr>
          <w:rFonts w:hint="eastAsia" w:ascii="宋体" w:hAnsi="宋体" w:eastAsia="宋体" w:cs="宋体"/>
          <w:bCs/>
          <w:sz w:val="24"/>
        </w:rPr>
      </w:pPr>
      <w:r>
        <w:rPr>
          <w:rFonts w:hint="eastAsia" w:ascii="宋体" w:hAnsi="宋体" w:eastAsia="宋体" w:cs="宋体"/>
          <w:sz w:val="24"/>
        </w:rPr>
        <w:t xml:space="preserve">9.1响应文件包括投标函、资格证明文件、开标一览表、分项报价表、响应及偏离表等部分。响应文件构成资料为非中文时应提供中文译版。</w:t>
      </w:r>
      <w:bookmarkStart w:id="68" w:name="EBc50e2bb832bb43068403b10c1cce6141"/>
      <w:r/>
      <w:r/>
    </w:p>
    <w:p>
      <w:pPr>
        <w:ind w:firstLine="482"/>
        <w:spacing w:line="480" w:lineRule="exact"/>
        <w:rPr>
          <w:rFonts w:hint="eastAsia" w:ascii="宋体" w:hAnsi="宋体" w:eastAsia="宋体" w:cs="宋体"/>
          <w:bCs/>
          <w:sz w:val="24"/>
        </w:rPr>
      </w:pPr>
      <w:r>
        <w:rPr>
          <w:rFonts w:hint="eastAsia" w:ascii="宋体" w:hAnsi="宋体" w:eastAsia="宋体" w:cs="宋体"/>
          <w:b/>
          <w:sz w:val="24"/>
        </w:rPr>
        <w:t xml:space="preserve">9.2磋商文件要求提供证书证件等原件电子件的，供应商提供的电子件应是对证书证件等原件通过扫描、拍照等方式进行数字化的可被“苏采云”系统识别的数字文件，否则磋商小组可以视其未提供。无论何种原因，即使供应商开标时携带了证书证明资料的原件，但电子响应文件中未包含相关资料电子件的，磋商小组可以视同其未提供。</w:t>
      </w:r>
      <w:bookmarkEnd w:id="68"/>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10、投标报价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10.2报价注意事项：投标价格一律以人民币计算，以元为单位标注，最多保留至小数点后四位，磋商文件有规定的按磋商文件执行。</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11、投标保证金</w:t>
      </w:r>
      <w:bookmarkStart w:id="69" w:name="EB183a0bf075204c54a4ff090f1aecaaa7"/>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本项目不收取投标保证金。</w:t>
      </w:r>
      <w:bookmarkEnd w:id="69"/>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12、投标有效期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12.1在供应商须知前附表规定的投标有效期内，投标有效期从提交响应文件的截止之日起算。投标有效期比规定短的将被视为未实质性响应磋商文件。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12.2特殊情况需延长投标有效期的，采购代理机构可于投标有效期届满之前，要求供应商同意延长有效期，可向供应商提出延长投标有效期的要求，采购代理机构的要求与供应商的答复均应为书面形式（如信件、传真或电报等），供应商拒绝延长的，其投标在原投标有效期届满后将不再有效；供应商同意延长的，不得修改或撤回响应文件。</w:t>
      </w:r>
      <w:r/>
    </w:p>
    <w:p>
      <w:pPr>
        <w:pStyle w:val="798"/>
        <w:ind w:firstLine="321"/>
        <w:spacing w:before="0" w:after="0" w:line="480" w:lineRule="exact"/>
        <w:rPr>
          <w:rFonts w:hint="eastAsia" w:ascii="宋体" w:hAnsi="宋体" w:eastAsia="宋体" w:cs="宋体"/>
          <w:bCs/>
        </w:rPr>
      </w:pPr>
      <w:r/>
      <w:bookmarkStart w:id="70" w:name="_Toc23443"/>
      <w:r/>
      <w:bookmarkStart w:id="71" w:name="_Toc81575195"/>
      <w:r/>
      <w:bookmarkStart w:id="72" w:name="_Toc2773"/>
      <w:r/>
      <w:bookmarkStart w:id="73" w:name="_Toc81575158"/>
      <w:r>
        <w:rPr>
          <w:rFonts w:hint="eastAsia" w:ascii="宋体" w:hAnsi="宋体" w:eastAsia="宋体" w:cs="宋体"/>
          <w:bCs/>
        </w:rPr>
        <w:t xml:space="preserve">四、响应文件的提交</w:t>
      </w:r>
      <w:bookmarkEnd w:id="70"/>
      <w:r/>
      <w:bookmarkEnd w:id="71"/>
      <w:r/>
      <w:bookmarkEnd w:id="72"/>
      <w:r/>
      <w:bookmarkEnd w:id="73"/>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13、响应文件的提交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13.1供应商应在磋商文件规定的投标截止时间前提交响应文件并将电子响应文件上传至“苏采云”系统对应的本次开标采购包中。除磋商文件另有规定外，供应商所提交的响应文件不予退还。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13.2响应文件的修改和撤回：在投标截止时间前，供应商可以撤回或重新提交响应文件。响应文件以最终完成上传的为准。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14、响应文件被拒绝接收的情形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在磋商文件规定的投标截止时间后上传的响应文件或对投标报价或其他实质性内容修正的文件。</w:t>
      </w:r>
      <w:r/>
    </w:p>
    <w:p>
      <w:pPr>
        <w:pStyle w:val="798"/>
        <w:ind w:firstLine="321"/>
        <w:spacing w:before="0" w:after="0" w:line="520" w:lineRule="exact"/>
        <w:rPr>
          <w:rFonts w:hint="eastAsia" w:ascii="宋体" w:hAnsi="宋体" w:eastAsia="宋体" w:cs="宋体"/>
          <w:bCs/>
        </w:rPr>
      </w:pPr>
      <w:r/>
      <w:bookmarkStart w:id="74" w:name="_Toc81575197"/>
      <w:r/>
      <w:bookmarkStart w:id="75" w:name="_Toc20026"/>
      <w:r/>
      <w:bookmarkStart w:id="76" w:name="_Toc81575160"/>
      <w:r/>
      <w:bookmarkStart w:id="77" w:name="_Toc959"/>
      <w:r>
        <w:rPr>
          <w:rFonts w:hint="eastAsia" w:ascii="宋体" w:hAnsi="宋体" w:eastAsia="宋体" w:cs="宋体"/>
          <w:bCs/>
        </w:rPr>
        <w:t xml:space="preserve">五、开标、评标程序</w:t>
      </w:r>
      <w:bookmarkEnd w:id="74"/>
      <w:r/>
      <w:bookmarkEnd w:id="75"/>
      <w:r/>
      <w:bookmarkEnd w:id="76"/>
      <w:r/>
      <w:bookmarkEnd w:id="77"/>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15、开标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15.1采购代理机构将在招标公告中规定的时间和地点组织公开开标。供应商应当按照规定参加开标活动，在“苏采云”系统规定的时间内对响应文件解密。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15.2开标仪式由采购代理机构组织。“苏采云”系统将自动对项目进行开标，并宣布各供应商名称和投标价格。</w:t>
      </w:r>
      <w:r/>
    </w:p>
    <w:p>
      <w:pPr>
        <w:ind w:firstLine="482"/>
        <w:spacing w:line="480" w:lineRule="exact"/>
        <w:rPr>
          <w:rFonts w:hint="eastAsia" w:ascii="宋体" w:hAnsi="宋体" w:eastAsia="宋体" w:cs="宋体"/>
          <w:b/>
          <w:bCs/>
          <w:sz w:val="24"/>
        </w:rPr>
      </w:pPr>
      <w:r>
        <w:rPr>
          <w:rFonts w:hint="eastAsia" w:ascii="宋体" w:hAnsi="宋体" w:eastAsia="宋体" w:cs="宋体"/>
          <w:b/>
          <w:bCs/>
          <w:sz w:val="24"/>
        </w:rPr>
        <w:t xml:space="preserve">15.3供应商用于解密的CA证书应为该响应文件生成加密、上传的同一把CA证书。供应商应登录“苏采云”系统进入“开标大厅”，在系统约定时间内使用CA证书解密，未成功解密的视为放弃投标。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15.4供应商如果对开标过程和开标记录有疑义，应当按规定提出。如“苏采云”系统中《开标记录表》宣布后5分钟内未提出的，视同认可开标结果。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15.5供应商在开、评标全过程中应</w:t>
      </w:r>
      <w:r>
        <w:rPr>
          <w:rFonts w:hint="eastAsia" w:ascii="宋体" w:hAnsi="宋体" w:cs="宋体"/>
          <w:sz w:val="24"/>
          <w:lang w:eastAsia="zh-CN"/>
        </w:rPr>
        <w:t xml:space="preserve">保持通信畅通</w:t>
      </w:r>
      <w:r>
        <w:rPr>
          <w:rFonts w:hint="eastAsia" w:ascii="宋体" w:hAnsi="宋体" w:eastAsia="宋体" w:cs="宋体"/>
          <w:sz w:val="24"/>
        </w:rPr>
        <w:t xml:space="preserve">，及时登录“苏采云”系统查阅、答复相关信息。</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16、磋商小组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采购人应根据本项目的特点依法组建磋商小组，磋商小组由采购人代表和评审专家等组成，且人员构成符合政府采购有关规定。磋商小组负责具体评标事务，按公平、公正、客观、择优的原则独立履行相关职责。</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17、评标程序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17.1资格审查</w:t>
      </w:r>
      <w:bookmarkStart w:id="78" w:name="EBa9c0a2c9e523494487594c65b2a92370"/>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开标结束后，采购人依法根据磋商文件的规定对供应商的资格证明文件等进行审查。</w:t>
      </w:r>
      <w:bookmarkEnd w:id="78"/>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17.2符合性检查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依据磋商文件的规定，由磋商小组从响应文件的有效性、完整性和对磋商文件的响应程度进行审查，以确定是否对磋商文件的实质性要求作出响应。实质性响应的投标应是与磋商文件要求的全部条款、条件和规格相符，没有重大偏离的投标。所谓重大偏离是指供应商响应文件中所述设备质量、技术规格、数量、交货期、服务等明显不能满足磋商文件要求。重大偏离的认定需经过磋商小组以少数服从多数的原则作出结论。</w:t>
      </w:r>
      <w:bookmarkStart w:id="79" w:name="EB1499356fad43416eb16398733accabf7"/>
      <w:r/>
      <w:bookmarkEnd w:id="79"/>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17.3未通过资格审查或符合性审查的供应商，采购代理机构将在“苏采云”系统中告知未通过资格审查或符合性审查的原因。评标结束后，采购代理机构将不再告知未通过资格审查或符合性审查的原因。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17.4磋商小组判断响应文件的响应性，仅基于响应文件本身而不靠外部证据。对非实质性响应的响应文件，供应商不能通过修正或撤销不符之处，而使其成为实质性响应。</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17.5相同品牌产品投标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17.5.1采用最低评标价法的采购项目，提供相同品牌产品的不同供应商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17.5.2使用综合评分法的采购项目，提供相同品牌产品且通过资格审查、符合性审查的不同供应商参加同一合同项下投标的，按一家供应商计算，评审后得分最高的同品牌供应商获得成交人推荐资格；评审得分相同的，报价最低的同品牌供应商获得成交人推荐资格；评审得分且报价相同的，采取随机抽取方式确定，其他同品牌供应商不作为成交候选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17.5.3非单一产品采购项目，采购人确定核心产品，并在磋商文件中载明。多家供应商提供的核心产品品牌相同的，按前两款规定处理。</w:t>
      </w:r>
      <w:bookmarkStart w:id="80" w:name="OLE_LINK10"/>
      <w:r/>
      <w:bookmarkEnd w:id="80"/>
      <w:r/>
      <w:r/>
    </w:p>
    <w:p>
      <w:pPr>
        <w:ind w:firstLine="480"/>
        <w:spacing w:line="480" w:lineRule="exact"/>
        <w:rPr>
          <w:rFonts w:hint="eastAsia" w:ascii="宋体" w:hAnsi="宋体" w:eastAsia="宋体" w:cs="宋体"/>
          <w:bCs/>
          <w:sz w:val="24"/>
        </w:rPr>
      </w:pPr>
      <w:r>
        <w:rPr>
          <w:rFonts w:hint="eastAsia" w:ascii="宋体" w:hAnsi="宋体" w:eastAsia="宋体" w:cs="宋体"/>
          <w:bCs/>
          <w:sz w:val="24"/>
        </w:rPr>
        <w:t xml:space="preserve">17.6有关问题的澄清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17.6.1对响应文件中含义不明确、同类问题表述不一致或者有明显文字和计算错误的内容，磋商小组通过“苏采云”系统向供应商发出“澄清要求函”，要求供应商作出必要的澄清、说明或者补正。供应商的澄清、说明或者补正应当采用书面形式且不得超出响应文件的范围或者改变响应文件的实质性内容。供应商的澄清、说明或者补正应加盖电子公章，或者由法定代表人或其授权的代表签章（或签字）。澄清、说明和补正的内容作为响应文件的补充部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17.6.2响应文件报价出现前后不一致的，除磋商文件另有规定外，按照下列规定修正：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①响应文件中开标一览表（报价表）内容与响应文件中相应内容不一致的，以开标一览表（报价表）为准；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②大写金额和小写金额不一致的，以大写金额为准；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④总价金额与单价汇总金额不一致的，以单价金额计算结果为准。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同时出现两种以上不一致的，按照前款规定的顺序修正。</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17.6.3磋商小组将按上述修正错误的方法调整响应文件中的投标报价，并通过“苏采云”系统告知供应商，调整后的价格应对供应商具有约束力。供应商不接受修正后的价格，其投标将被拒绝。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评标过程中，不得去掉报价中的最高报价和最低报价。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17.7 异常低价投标审查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17.7.1 评标过程中出现下列情形之一的，磋商小组应当启动异常低价投标审查程序：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（3）投标报价低于采购项目最高限价45%的，即投标报价&lt;采购项目最高限价×45%；</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（4）磋商小组基于专业判断，认为供应商报价过低，有可能影响产品质量或者不能诚信履约的其他情形。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17.7.2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磋商小组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17.8比较</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磋商小组将按磋商文件中规定的评审方法和标准，对符合性检查合格的响应文件进行商务和技术评比。</w:t>
      </w:r>
      <w:r/>
    </w:p>
    <w:p>
      <w:pPr>
        <w:ind w:firstLine="480"/>
        <w:spacing w:line="48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17.9推荐成交候选人</w:t>
      </w:r>
      <w:r/>
    </w:p>
    <w:p>
      <w:pPr>
        <w:ind w:firstLine="480"/>
        <w:spacing w:line="480" w:lineRule="exact"/>
        <w:rPr>
          <w:rFonts w:hint="eastAsia" w:ascii="宋体" w:hAnsi="宋体" w:eastAsia="宋体" w:cs="宋体"/>
          <w:color w:val="000000"/>
          <w:sz w:val="24"/>
          <w:highlight w:val="yellow"/>
        </w:rPr>
      </w:pPr>
      <w:r>
        <w:rPr>
          <w:rFonts w:hint="eastAsia" w:ascii="Times New Roman" w:hAnsi="Times New Roman" w:cs="仿宋"/>
          <w:sz w:val="24"/>
          <w:szCs w:val="24"/>
        </w:rPr>
        <w:t xml:space="preserve">采购人按规定在磋商小组推荐的竞标候选人中确定成交人</w:t>
      </w:r>
      <w:r>
        <w:rPr>
          <w:rFonts w:hint="eastAsia" w:ascii="宋体" w:hAnsi="宋体" w:eastAsia="宋体" w:cs="宋体"/>
          <w:color w:val="000000"/>
          <w:sz w:val="24"/>
          <w:highlight w:val="none"/>
        </w:rPr>
        <w:t xml:space="preserve">。</w:t>
      </w:r>
      <w:r/>
    </w:p>
    <w:p>
      <w:pPr>
        <w:pStyle w:val="798"/>
        <w:ind w:firstLine="321"/>
        <w:spacing w:before="0" w:after="0" w:line="480" w:lineRule="exact"/>
        <w:rPr>
          <w:rFonts w:hint="eastAsia" w:ascii="宋体" w:hAnsi="宋体" w:eastAsia="宋体" w:cs="宋体"/>
          <w:bCs/>
        </w:rPr>
      </w:pPr>
      <w:r/>
      <w:bookmarkStart w:id="81" w:name="_Toc8712"/>
      <w:r/>
      <w:bookmarkStart w:id="82" w:name="_Toc8841"/>
      <w:r/>
      <w:bookmarkStart w:id="83" w:name="_Toc81575196"/>
      <w:r/>
      <w:bookmarkStart w:id="84" w:name="_Toc81575159"/>
      <w:r>
        <w:rPr>
          <w:rFonts w:hint="eastAsia" w:ascii="宋体" w:hAnsi="宋体" w:eastAsia="宋体" w:cs="宋体"/>
          <w:bCs/>
        </w:rPr>
        <w:t xml:space="preserve">六、无效投标、无效响应、串通投标及取消成交候选人资格情形</w:t>
      </w:r>
      <w:bookmarkEnd w:id="81"/>
      <w:r/>
      <w:bookmarkEnd w:id="82"/>
      <w:r/>
      <w:bookmarkEnd w:id="83"/>
      <w:r/>
      <w:bookmarkEnd w:id="84"/>
      <w:r/>
      <w:r/>
    </w:p>
    <w:p>
      <w:pPr>
        <w:ind w:firstLine="482"/>
        <w:spacing w:line="480" w:lineRule="exact"/>
        <w:rPr>
          <w:rFonts w:hint="eastAsia" w:ascii="宋体" w:hAnsi="宋体" w:eastAsia="宋体" w:cs="宋体"/>
          <w:b/>
          <w:color w:val="000000"/>
          <w:sz w:val="24"/>
        </w:rPr>
      </w:pPr>
      <w:r>
        <w:rPr>
          <w:rFonts w:hint="eastAsia" w:ascii="宋体" w:hAnsi="宋体" w:eastAsia="宋体" w:cs="宋体"/>
          <w:b/>
          <w:color w:val="000000"/>
          <w:sz w:val="24"/>
        </w:rPr>
        <w:t xml:space="preserve">18、无效投标情形</w:t>
      </w:r>
      <w:r/>
    </w:p>
    <w:p>
      <w:pPr>
        <w:ind w:firstLine="480"/>
        <w:spacing w:line="480" w:lineRule="exact"/>
        <w:rPr>
          <w:rFonts w:hint="eastAsia" w:ascii="宋体" w:hAnsi="宋体" w:eastAsia="宋体" w:cs="宋体"/>
          <w:strike/>
          <w:color w:val="000000"/>
          <w:sz w:val="24"/>
        </w:rPr>
      </w:pPr>
      <w:r>
        <w:rPr>
          <w:rFonts w:hint="eastAsia" w:ascii="宋体" w:hAnsi="宋体" w:eastAsia="宋体" w:cs="宋体"/>
          <w:color w:val="000000"/>
          <w:sz w:val="24"/>
        </w:rPr>
        <w:t xml:space="preserve">18.1供应商同一采购包提交两个（含两个）以上不同的投标报价的。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18.2供应商不符合磋商文件规定资格要求的或未按规定提交资质证件的。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18.3供应商的报价超过了采购预算或最高限价的。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18.4响应文件未通过符合性审查的。</w:t>
      </w:r>
      <w:r/>
    </w:p>
    <w:p>
      <w:pPr>
        <w:ind w:firstLine="480"/>
        <w:spacing w:line="480" w:lineRule="exact"/>
        <w:rPr>
          <w:rFonts w:hint="eastAsia" w:ascii="宋体" w:hAnsi="宋体" w:eastAsia="宋体" w:cs="宋体"/>
          <w:sz w:val="24"/>
        </w:rPr>
      </w:pPr>
      <w:r>
        <w:rPr>
          <w:rFonts w:hint="eastAsia" w:ascii="宋体" w:hAnsi="宋体" w:eastAsia="宋体" w:cs="宋体"/>
          <w:color w:val="000000"/>
          <w:sz w:val="24"/>
        </w:rPr>
        <w:t xml:space="preserve">18.5响应文件出现重大偏离，不符合磋商文件中规定的实质性要求的。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18.6磋商小组启动异常低价投标审查后，供应商不能提供书面说明、证明材料，或者磋商小组认为供应商提供的书面说明、证明材料不能证明其报价合理性的。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18.7响应文件未按照磋商文件要求加盖CA电子公章的。</w:t>
      </w:r>
      <w:r/>
    </w:p>
    <w:p>
      <w:pPr>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18.8供应商有本磋商文件规定的恶意串通投标情形的。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18.9响应文件含有采购人不能接受的附加条件的。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18.10其他</w:t>
      </w:r>
      <w:r>
        <w:rPr>
          <w:rFonts w:hint="eastAsia" w:ascii="宋体" w:hAnsi="宋体" w:cs="宋体"/>
          <w:sz w:val="24"/>
          <w:lang w:eastAsia="zh-CN"/>
        </w:rPr>
        <w:t xml:space="preserve">法律法规</w:t>
      </w:r>
      <w:r>
        <w:rPr>
          <w:rFonts w:hint="eastAsia" w:ascii="宋体" w:hAnsi="宋体" w:eastAsia="宋体" w:cs="宋体"/>
          <w:sz w:val="24"/>
        </w:rPr>
        <w:t xml:space="preserve">及本磋商文件规定的</w:t>
      </w:r>
      <w:r>
        <w:rPr>
          <w:rFonts w:hint="eastAsia" w:ascii="宋体" w:hAnsi="宋体" w:cs="宋体"/>
          <w:sz w:val="24"/>
          <w:lang w:eastAsia="zh-CN"/>
        </w:rPr>
        <w:t xml:space="preserve">属于</w:t>
      </w:r>
      <w:r>
        <w:rPr>
          <w:rFonts w:hint="eastAsia" w:ascii="宋体" w:hAnsi="宋体" w:eastAsia="宋体" w:cs="宋体"/>
          <w:sz w:val="24"/>
        </w:rPr>
        <w:t xml:space="preserve">无效投标的情形。</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19、无效响应情形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19.1符合专业条件的供应商或者对磋商文件作实质响应的供应商不足三家的。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19.2出现影响采购公正的违法、违规行为的。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19.3因重大变故，采购任务取消的。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19.4磋商小组认定磋商文件存在歧义、重大缺陷导致评审工作无法进行的。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19.5在“苏采云”系统规定时间内成功解密电子响应文件的供应商不足三家的。</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20、供应商不足三家情形处理</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投标截止后供应商不足三家或者通过资格审查或符合性审查的供应商不足三家的，除采购任务取消情形外，按财政部令第87号第四十三条条款进行处理。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21、串通投标情形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有下列情形之一的，属于恶意串通投标，其投标无效：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21.1供应商直接或间接从采购人或采购代理机构处获得其他供应商的投标情况，并修改其响应文件；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21.2评审活动开始前供应商直接或间接从采购人或采购代理机构处获得磋商小组组成人员情况；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21.3供应商接受采购人或采购代理机构授意撤换、修改响应文件；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21.4供应商之间协商投标报价、技术方案等响应文件实质性内容；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21.5属于同一集团、协会、商会等组织成员的供应商按照该组织要求协同投标；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21.6供应商之间事先约定由某一特定供应商成交、成交；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21.7供应商之间商定部分供应商放弃投标或者放弃成交、成交；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21.8供应商与采购人或采购代理机构之间、供应商相互之间为谋求特定供应商</w:t>
      </w:r>
      <w:r>
        <w:rPr>
          <w:rFonts w:hint="eastAsia" w:ascii="宋体" w:hAnsi="宋体" w:cs="宋体"/>
          <w:sz w:val="24"/>
          <w:lang w:eastAsia="zh-CN"/>
        </w:rPr>
        <w:t xml:space="preserve">成交</w:t>
      </w:r>
      <w:r>
        <w:rPr>
          <w:rFonts w:hint="eastAsia" w:ascii="宋体" w:hAnsi="宋体" w:eastAsia="宋体" w:cs="宋体"/>
          <w:sz w:val="24"/>
        </w:rPr>
        <w:t xml:space="preserve">或者排斥其他供应商的其他串通行为；</w:t>
      </w:r>
      <w:r/>
    </w:p>
    <w:p>
      <w:pPr>
        <w:ind w:firstLine="482"/>
        <w:spacing w:line="500" w:lineRule="exact"/>
        <w:rPr>
          <w:rFonts w:hint="eastAsia" w:ascii="宋体" w:hAnsi="宋体" w:eastAsia="宋体" w:cs="宋体"/>
          <w:sz w:val="24"/>
        </w:rPr>
      </w:pPr>
      <w:r>
        <w:rPr>
          <w:rFonts w:hint="eastAsia" w:ascii="宋体" w:hAnsi="宋体" w:eastAsia="宋体" w:cs="宋体"/>
          <w:sz w:val="24"/>
        </w:rPr>
        <w:t xml:space="preserve">有下列情形之一的，视为供应商串通投标，其投标无效：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21.9 不同供应商的响应文件由同一单位或者个人编制；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21.10不同供应商的电子响应文件由同一台电子设备编制、打包、加密或者上传；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21.11不同供应商委托同一单位或者个人办理投标事宜；</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21.12不同供应商的响应文件载明的项目管理成员或者联系人员为同一人；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21.13不同供应商的响应文件异常一致或者投标报价呈规律性差异；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21.14不同供应商的响应文件相互混装；</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21.15不同供应商的投标保证金从同一单位或者个人的账户转出。</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22、取消成交候选人资格情形</w:t>
      </w:r>
      <w:bookmarkStart w:id="85" w:name="OLE_LINK4"/>
      <w:r/>
      <w:bookmarkEnd w:id="85"/>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22.1提供虚假材料谋取成交的；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22.2采取不正当手段诋毁、排挤其他供应商的；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22.3与采购人、其他供应商或者采购代理机构恶意串通的；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22.4向采购人、采购代理机构行贿或者提供其他不正当利益的；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22.5未在规定时间内与采购人签订采购合同的；</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22.6</w:t>
      </w:r>
      <w:r>
        <w:rPr>
          <w:rFonts w:hint="eastAsia" w:ascii="宋体" w:hAnsi="宋体" w:cs="宋体"/>
          <w:sz w:val="24"/>
          <w:lang w:eastAsia="zh-CN"/>
        </w:rPr>
        <w:t xml:space="preserve">法律法规</w:t>
      </w:r>
      <w:r>
        <w:rPr>
          <w:rFonts w:hint="eastAsia" w:ascii="宋体" w:hAnsi="宋体" w:eastAsia="宋体" w:cs="宋体"/>
          <w:sz w:val="24"/>
        </w:rPr>
        <w:t xml:space="preserve">规定的</w:t>
      </w:r>
      <w:r>
        <w:rPr>
          <w:rFonts w:hint="eastAsia" w:ascii="宋体" w:hAnsi="宋体" w:cs="宋体"/>
          <w:sz w:val="24"/>
          <w:lang w:eastAsia="zh-CN"/>
        </w:rPr>
        <w:t xml:space="preserve">其他情况</w:t>
      </w:r>
      <w:r>
        <w:rPr>
          <w:rFonts w:hint="eastAsia" w:ascii="宋体" w:hAnsi="宋体" w:eastAsia="宋体" w:cs="宋体"/>
          <w:sz w:val="24"/>
        </w:rPr>
        <w:t xml:space="preserve">。</w:t>
      </w:r>
      <w:bookmarkStart w:id="86" w:name="_Toc2391"/>
      <w:r/>
      <w:bookmarkStart w:id="87" w:name="_Toc6494"/>
      <w:r/>
      <w:bookmarkStart w:id="88" w:name="_Toc81575198"/>
      <w:r/>
      <w:bookmarkStart w:id="89" w:name="_Toc81575161"/>
      <w:r/>
      <w:r/>
    </w:p>
    <w:p>
      <w:pPr>
        <w:ind w:firstLine="321"/>
        <w:spacing w:line="480" w:lineRule="exact"/>
        <w:rPr>
          <w:rFonts w:hint="eastAsia" w:ascii="宋体" w:hAnsi="宋体" w:eastAsia="宋体" w:cs="宋体"/>
          <w:b/>
          <w:bCs/>
          <w:sz w:val="32"/>
        </w:rPr>
        <w:outlineLvl w:val="1"/>
      </w:pPr>
      <w:r>
        <w:rPr>
          <w:rFonts w:hint="eastAsia" w:ascii="宋体" w:hAnsi="宋体" w:eastAsia="宋体" w:cs="宋体"/>
          <w:b/>
          <w:bCs/>
          <w:sz w:val="32"/>
        </w:rPr>
        <w:t xml:space="preserve">七、成交及合同签订</w:t>
      </w:r>
      <w:bookmarkEnd w:id="86"/>
      <w:r/>
      <w:bookmarkEnd w:id="87"/>
      <w:r/>
      <w:bookmarkEnd w:id="88"/>
      <w:r/>
      <w:bookmarkEnd w:id="89"/>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23、确定成交人</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23.1采购人应当自收到评审报告之日起5个工作日内</w:t>
      </w:r>
      <w:r>
        <w:rPr>
          <w:rFonts w:hint="eastAsia" w:ascii="Times New Roman" w:hAnsi="Times New Roman" w:cs="仿宋"/>
          <w:sz w:val="24"/>
          <w:szCs w:val="24"/>
          <w:highlight w:val="none"/>
        </w:rPr>
        <w:t xml:space="preserve">按规定在磋商小组推荐的竞标候选人中确定成交人</w:t>
      </w:r>
      <w:r>
        <w:rPr>
          <w:rFonts w:hint="eastAsia" w:ascii="宋体" w:hAnsi="宋体" w:eastAsia="宋体" w:cs="宋体"/>
          <w:sz w:val="24"/>
          <w:highlight w:val="none"/>
        </w:rPr>
        <w:t xml:space="preserve">。</w:t>
      </w:r>
      <w:r/>
    </w:p>
    <w:p>
      <w:pPr>
        <w:ind w:firstLine="480"/>
        <w:spacing w:line="480" w:lineRule="exact"/>
        <w:rPr>
          <w:rFonts w:hint="eastAsia" w:ascii="宋体" w:hAnsi="宋体" w:eastAsia="宋体" w:cs="宋体"/>
          <w:color w:val="ff0000"/>
          <w:sz w:val="24"/>
        </w:rPr>
      </w:pPr>
      <w:r>
        <w:rPr>
          <w:rFonts w:hint="eastAsia" w:ascii="宋体" w:hAnsi="宋体" w:eastAsia="宋体" w:cs="宋体"/>
          <w:sz w:val="24"/>
        </w:rPr>
        <w:t xml:space="preserve">23.2成交人确定之日起2个工作日内，采购人、采购代理机构将在财政部门指定信息媒体上发布成交结果公告，公告的公告期限为1个工作日。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23.3采购人确定正被列为失信被执行人的供应商为成交人的，成交结果无效。</w:t>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24、成交通知书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24.1在公告成交结果的同时，采购代理机构将向成交人发出成交通知书。成交人使用CA数字证书登录“苏采云”系统及时下载成交通知书。</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24.2成交通知书发出后，采购人改变成交结果的，或者成交人放弃成交项目的，应当依法承担法律责任。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24.3采用综合评分法评审的，未成交人可于成交结果公告期限届满之日起通过“苏采云”系统查看自己的评审得分及排序情况。</w:t>
      </w:r>
      <w:bookmarkStart w:id="90" w:name="OLE_LINK5"/>
      <w:r/>
      <w:bookmarkEnd w:id="90"/>
      <w:r/>
      <w:r/>
    </w:p>
    <w:p>
      <w:pPr>
        <w:ind w:firstLine="482"/>
        <w:spacing w:line="500" w:lineRule="exact"/>
        <w:rPr>
          <w:rFonts w:hint="eastAsia" w:ascii="宋体" w:hAnsi="宋体" w:eastAsia="宋体" w:cs="宋体"/>
          <w:b/>
          <w:sz w:val="24"/>
        </w:rPr>
      </w:pPr>
      <w:r>
        <w:rPr>
          <w:rFonts w:hint="eastAsia" w:ascii="宋体" w:hAnsi="宋体" w:eastAsia="宋体" w:cs="宋体"/>
          <w:b/>
          <w:sz w:val="24"/>
        </w:rPr>
        <w:t xml:space="preserve">25、授予合同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25.1采购人与成交人应当在成交通知书发出之日起30日内签订政府采购合同。磋商文件、成交人的响应文件以及评标过程中有关澄清文件均作为合同附件。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25.2采购人在自合同签订之日起2个工作日内，将合同在指定的媒体上公告。</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26、履约保证金</w:t>
      </w:r>
      <w:r/>
    </w:p>
    <w:p>
      <w:pPr>
        <w:ind w:firstLine="480"/>
        <w:spacing w:line="480" w:lineRule="exact"/>
        <w:rPr>
          <w:rFonts w:hint="eastAsia" w:ascii="宋体" w:hAnsi="宋体" w:eastAsia="宋体" w:cs="宋体"/>
          <w:sz w:val="24"/>
          <w:lang w:val="zh-CN"/>
        </w:rPr>
      </w:pPr>
      <w:r>
        <w:rPr>
          <w:rFonts w:hint="eastAsia" w:ascii="宋体" w:hAnsi="宋体" w:eastAsia="宋体" w:cs="宋体"/>
          <w:sz w:val="24"/>
          <w:lang w:val="zh-CN"/>
        </w:rPr>
        <w:t xml:space="preserve">按照以下第</w:t>
      </w:r>
      <w:r>
        <w:rPr>
          <w:rFonts w:hint="eastAsia" w:ascii="宋体" w:hAnsi="宋体" w:eastAsia="宋体" w:cs="宋体"/>
          <w:sz w:val="24"/>
          <w:u w:val="single"/>
        </w:rPr>
        <w:t xml:space="preserve">（2）</w:t>
      </w:r>
      <w:r>
        <w:rPr>
          <w:rFonts w:hint="eastAsia" w:ascii="宋体" w:hAnsi="宋体" w:eastAsia="宋体" w:cs="宋体"/>
          <w:sz w:val="24"/>
          <w:lang w:val="zh-CN"/>
        </w:rPr>
        <w:t xml:space="preserve">方式确定履约保证</w:t>
      </w:r>
      <w:r>
        <w:rPr>
          <w:rFonts w:hint="eastAsia" w:ascii="宋体" w:hAnsi="宋体" w:eastAsia="宋体" w:cs="宋体"/>
          <w:sz w:val="24"/>
        </w:rPr>
        <w:t xml:space="preserve">金</w:t>
      </w:r>
      <w:r>
        <w:rPr>
          <w:rFonts w:hint="eastAsia" w:ascii="宋体" w:hAnsi="宋体" w:eastAsia="宋体" w:cs="宋体"/>
          <w:sz w:val="24"/>
          <w:lang w:val="zh-CN"/>
        </w:rPr>
        <w:t xml:space="preserve">收取方式。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（1）本项目不收取履约保证金。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（2）本项目收取履约保证金。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26.1履约保证金提交形式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26.2履约保证金提交金额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按采购合同总价的</w:t>
      </w:r>
      <w:r>
        <w:rPr>
          <w:rFonts w:hint="eastAsia" w:ascii="宋体" w:hAnsi="宋体" w:eastAsia="宋体" w:cs="宋体"/>
          <w:sz w:val="24"/>
          <w:u w:val="single"/>
        </w:rPr>
        <w:t xml:space="preserve">10</w:t>
      </w:r>
      <w:r>
        <w:rPr>
          <w:rFonts w:hint="eastAsia" w:ascii="宋体" w:hAnsi="宋体" w:eastAsia="宋体" w:cs="宋体"/>
          <w:sz w:val="24"/>
        </w:rPr>
        <w:t xml:space="preserve">%提交。</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支持和鼓励供应商使用江苏政府采购电子履约保函（保险）代替缴纳履约保证金，供应商如使用江苏政府采购电子履约保函（保险）的，可按采购合同总价的6%提交。办理流程、偿付等内容见江苏政府采购网“保险保函”模块。</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26.3履约保证金退还方式</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以银行电汇、网上银行、数字人民币形式缴纳履约保证金的，退回至供应商存款账户或数字人民币账户；以保函、担保、保险等形式缴纳履约保证金的，在保函、担保、保险约定的保证期限届满之日起自行失效。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26.4履约保证金退还条件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具有验收合格相关证明材料。</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26.5履约保证金退还时间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采购人收到供应商退付申请后10个工作日内退还。</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26.6履约保证金不予退还情形</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除不可抗力外，成交人不履行与采购人订立的采购合同的，履约保证金不予退还，给采购人造成的损失超过履约保证金数额的，还应对超过部分予以赔偿。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26.7逾期退还履约保证金违约责任</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采购人逾期退还履约保证金的，除应退还履约保证金外，还应按中国人民银行同期贷款基准利率上浮20％后的利率支付超期资金占用费，但因供应商自身原因导致无法及时退还的除外。</w:t>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
          <w:bCs w:val="0"/>
          <w:color w:val="000000" w:themeColor="text1"/>
          <w:sz w:val="24"/>
          <w:szCs w:val="24"/>
          <w:highlight w:val="none"/>
          <w14:textFill>
            <w14:solidFill>
              <w14:schemeClr w14:val="tx1"/>
            </w14:solidFill>
          </w14:textFill>
        </w:rPr>
        <w:t xml:space="preserve">、政府采购履约资金扶持政策</w:t>
      </w:r>
      <w:r/>
    </w:p>
    <w:p>
      <w:pPr>
        <w:ind w:firstLine="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aps w:val="0"/>
          <w:color w:val="000000" w:themeColor="text1"/>
          <w:sz w:val="24"/>
          <w:highlight w:val="none"/>
          <w:lang w:val="zh-CN"/>
          <w14:textFill>
            <w14:solidFill>
              <w14:schemeClr w14:val="tx1"/>
            </w14:solidFill>
          </w14:textFill>
        </w:rPr>
        <w:t xml:space="preserve">根据江苏省财政厅中国人民银行南京分行《关于深入推进政府采购线上合同信用融资工作的通知》（苏财购〔2021〕82号）</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28、合同履行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28.1政府采购合同订立后，合同各方不得擅自变更、中止或者终止合同。</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28.2政府采购合同履行中，采购人需追加与合同标的</w:t>
      </w:r>
      <w:bookmarkStart w:id="153" w:name="_GoBack"/>
      <w:r/>
      <w:bookmarkEnd w:id="153"/>
      <w:r>
        <w:rPr>
          <w:rFonts w:hint="eastAsia" w:ascii="宋体" w:hAnsi="宋体" w:eastAsia="宋体" w:cs="宋体"/>
          <w:sz w:val="24"/>
        </w:rPr>
        <w:t xml:space="preserve">相同的货物、工程或者服务的，在不改变合同其他条款的前提下，可以与成交人签订补充合同，但所补充合同的采购金额不得超过原合同采购金额的百分之十。</w:t>
      </w:r>
      <w:r/>
    </w:p>
    <w:p>
      <w:pPr>
        <w:pStyle w:val="798"/>
        <w:spacing w:before="0" w:after="0" w:line="520" w:lineRule="exact"/>
        <w:rPr>
          <w:rFonts w:hint="eastAsia" w:ascii="宋体" w:hAnsi="宋体" w:eastAsia="宋体" w:cs="宋体"/>
          <w:bCs/>
        </w:rPr>
      </w:pPr>
      <w:r/>
      <w:bookmarkStart w:id="91" w:name="_Toc81575162"/>
      <w:r/>
      <w:bookmarkStart w:id="92" w:name="_Toc81575199"/>
      <w:r/>
      <w:bookmarkStart w:id="93" w:name="_Toc7550"/>
      <w:r/>
      <w:bookmarkStart w:id="94" w:name="_Toc22084"/>
      <w:r>
        <w:rPr>
          <w:rFonts w:hint="eastAsia" w:ascii="宋体" w:hAnsi="宋体" w:eastAsia="宋体" w:cs="宋体"/>
          <w:bCs/>
        </w:rPr>
        <w:t xml:space="preserve">八、</w:t>
      </w:r>
      <w:bookmarkEnd w:id="91"/>
      <w:r/>
      <w:bookmarkEnd w:id="92"/>
      <w:r/>
      <w:bookmarkEnd w:id="93"/>
      <w:r/>
      <w:bookmarkEnd w:id="94"/>
      <w:r/>
      <w:bookmarkStart w:id="95" w:name="_Toc81575163"/>
      <w:r/>
      <w:bookmarkStart w:id="96" w:name="_Toc31888"/>
      <w:r/>
      <w:bookmarkStart w:id="97" w:name="_Toc12263"/>
      <w:r/>
      <w:bookmarkStart w:id="98" w:name="_Toc81575200"/>
      <w:r>
        <w:rPr>
          <w:rFonts w:hint="eastAsia" w:ascii="宋体" w:hAnsi="宋体" w:eastAsia="宋体" w:cs="宋体"/>
          <w:bCs/>
        </w:rPr>
        <w:t xml:space="preserve">质疑与投诉</w:t>
      </w:r>
      <w:bookmarkEnd w:id="95"/>
      <w:r/>
      <w:bookmarkEnd w:id="96"/>
      <w:r/>
      <w:bookmarkEnd w:id="97"/>
      <w:r/>
      <w:bookmarkEnd w:id="98"/>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29、质疑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w:t>
      </w:r>
      <w:r>
        <w:rPr>
          <w:rFonts w:hint="eastAsia" w:ascii="宋体" w:hAnsi="宋体" w:eastAsia="宋体" w:cs="宋体"/>
          <w:sz w:val="24"/>
          <w:lang w:val="en-US" w:eastAsia="zh-CN"/>
        </w:rPr>
        <w:t xml:space="preserve">1</w:t>
      </w:r>
      <w:r>
        <w:rPr>
          <w:rFonts w:hint="eastAsia" w:ascii="宋体" w:hAnsi="宋体" w:eastAsia="宋体" w:cs="宋体"/>
          <w:sz w:val="24"/>
        </w:rPr>
        <w:t xml:space="preserve">供应商应以书面形式向采购人或者其委托的采购代理机构提出质疑。质疑超出采购机构代理范围的，供应商应当向采购人提出。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接收质疑函的方式：现场接收或邮寄接收。</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联系部门：江苏省皂河抽水站或宿迁市禾盛咨询有限公司</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联系电话：13218056013</w:t>
      </w:r>
      <w:r>
        <w:rPr>
          <w:rFonts w:hint="eastAsia" w:ascii="宋体" w:hAnsi="宋体" w:eastAsia="宋体" w:cs="宋体"/>
          <w:sz w:val="24"/>
          <w:lang w:val="en-US" w:eastAsia="zh-CN"/>
        </w:rPr>
        <w:t xml:space="preserve">或</w:t>
      </w:r>
      <w:r>
        <w:rPr>
          <w:rFonts w:hint="eastAsia" w:ascii="宋体" w:hAnsi="宋体" w:eastAsia="宋体" w:cs="宋体"/>
          <w:sz w:val="24"/>
        </w:rPr>
        <w:t xml:space="preserve">18114399553</w:t>
      </w:r>
      <w:r/>
    </w:p>
    <w:p>
      <w:pPr>
        <w:ind w:firstLine="480"/>
        <w:spacing w:line="480" w:lineRule="exact"/>
        <w:rPr>
          <w:rFonts w:hint="eastAsia" w:ascii="宋体" w:hAnsi="宋体" w:eastAsia="宋体" w:cs="宋体"/>
          <w:sz w:val="24"/>
          <w:lang w:val="en-US" w:eastAsia="zh-CN"/>
        </w:rPr>
      </w:pPr>
      <w:r>
        <w:rPr>
          <w:rFonts w:hint="eastAsia" w:ascii="宋体" w:hAnsi="宋体" w:eastAsia="宋体" w:cs="宋体"/>
          <w:sz w:val="24"/>
        </w:rPr>
        <w:t xml:space="preserve">通讯地址：江苏省宿迁市湖滨新区皂河镇境内</w:t>
      </w:r>
      <w:r>
        <w:rPr>
          <w:rFonts w:hint="eastAsia" w:ascii="宋体" w:hAnsi="宋体" w:eastAsia="宋体" w:cs="宋体"/>
          <w:sz w:val="24"/>
          <w:lang w:val="en-US" w:eastAsia="zh-CN"/>
        </w:rPr>
        <w:t xml:space="preserve">或</w:t>
      </w:r>
      <w:r>
        <w:rPr>
          <w:rFonts w:hint="eastAsia" w:ascii="宋体" w:hAnsi="宋体" w:eastAsia="宋体" w:cs="宋体"/>
          <w:sz w:val="24"/>
        </w:rPr>
        <w:t xml:space="preserve">宿迁市宿城区项里街道思虞路2号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29.2供应商应知其权益受到损害之日，是指：</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（2）对本项目采购过程提出质疑的，为各采购程序环节结束之日；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（3）对本项目成交结果提出质疑的，为成交结果公告期限届满之日。</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29.4供应商提出质疑应当提交质疑函和必要的证明材料。质疑函的必备内容：</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（1）供应商的姓名或者名称、地址、邮编、联系人及联系电话；</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（2）质疑项目的名称、编号；</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（3）获取采购文件的时间；</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（4）具体、明确的质疑事项和质疑事项相关的请求；</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（5）事实依据；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（6）必要的法律依据；</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（7）提出质疑的日期；</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30、投诉</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质疑供应商对答复不满意或采购人、采购代理机构未在规定时间内作出答复的，可在答复期满后15个工作日内向同级财政部门提起投诉。</w:t>
      </w:r>
      <w:r/>
    </w:p>
    <w:p>
      <w:pPr>
        <w:rPr>
          <w:rFonts w:hint="eastAsia" w:ascii="宋体" w:hAnsi="宋体" w:eastAsia="宋体" w:cs="宋体"/>
          <w:b/>
          <w:bCs/>
          <w:sz w:val="44"/>
        </w:rPr>
      </w:pPr>
      <w:r>
        <w:rPr>
          <w:rFonts w:hint="eastAsia" w:ascii="宋体" w:hAnsi="宋体" w:eastAsia="宋体" w:cs="宋体"/>
          <w:b/>
          <w:bCs/>
          <w:sz w:val="44"/>
        </w:rPr>
      </w:r>
      <w:r/>
    </w:p>
    <w:p>
      <w:pPr>
        <w:rPr>
          <w:rFonts w:hint="eastAsia" w:ascii="宋体" w:hAnsi="宋体" w:eastAsia="宋体" w:cs="宋体"/>
          <w:b/>
          <w:bCs/>
          <w:sz w:val="44"/>
        </w:rPr>
      </w:pPr>
      <w:r>
        <w:rPr>
          <w:rFonts w:hint="eastAsia" w:ascii="宋体" w:hAnsi="宋体" w:eastAsia="宋体" w:cs="宋体"/>
          <w:b/>
          <w:bCs/>
          <w:sz w:val="44"/>
        </w:rPr>
        <w:br w:type="page" w:clear="all"/>
      </w:r>
      <w:r/>
    </w:p>
    <w:p>
      <w:pPr>
        <w:pStyle w:val="797"/>
        <w:jc w:val="center"/>
        <w:spacing w:before="200"/>
        <w:rPr>
          <w:rFonts w:hint="eastAsia" w:ascii="宋体" w:hAnsi="宋体" w:eastAsia="宋体" w:cs="宋体"/>
          <w:b/>
          <w:bCs/>
          <w:sz w:val="44"/>
        </w:rPr>
      </w:pPr>
      <w:r>
        <w:rPr>
          <w:rFonts w:hint="eastAsia" w:ascii="宋体" w:hAnsi="宋体" w:eastAsia="宋体" w:cs="宋体"/>
          <w:b/>
          <w:bCs/>
          <w:sz w:val="44"/>
        </w:rPr>
        <w:t xml:space="preserve">第三章  </w:t>
      </w:r>
      <w:bookmarkEnd w:id="59"/>
      <w:r/>
      <w:bookmarkEnd w:id="60"/>
      <w:r/>
      <w:bookmarkEnd w:id="61"/>
      <w:r>
        <w:rPr>
          <w:rFonts w:hint="eastAsia" w:ascii="宋体" w:hAnsi="宋体" w:eastAsia="宋体" w:cs="宋体"/>
          <w:b/>
          <w:bCs/>
          <w:sz w:val="44"/>
        </w:rPr>
        <w:t xml:space="preserve">评审方法与评审标准</w:t>
      </w:r>
      <w:bookmarkEnd w:id="62"/>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一、资格审查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资格审查人员按照下列指标对各供应商的资格进行审查，未通过审查的为无效标，不参与评标。</w:t>
      </w:r>
      <w:r/>
    </w:p>
    <w:tbl>
      <w:tblPr>
        <w:tblStyle w:val="807"/>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22"/>
        <w:gridCol w:w="3854"/>
      </w:tblGrid>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资格审查因素</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具有独立承担民事责任的能力</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具有良好的商业信誉和健全的财务会计制度</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有依法缴纳税收和社会保障资金的良好记录</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具备履行合同所必需的设备和专业技术能力的声明</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没有重大违法记录的书面声明</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信用信息</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2"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联合体响应</w:t>
            </w:r>
            <w:r/>
          </w:p>
        </w:tc>
        <w:tc>
          <w:tcPr>
            <w:tcBorders>
              <w:top w:val="single" w:color="000000" w:sz="6" w:space="0"/>
              <w:left w:val="single" w:color="000000" w:sz="6" w:space="0"/>
              <w:bottom w:val="single" w:color="000000" w:sz="6" w:space="0"/>
              <w:right w:val="single" w:color="000000" w:sz="6" w:space="0"/>
            </w:tcBorders>
            <w:tcW w:w="3854"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本项目不接受联合体响应</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二、符合性审查</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磋商小组对符合资格的供应商的响应文件进行符合性审查，未通过审查的为无效标，不再参与评审。</w:t>
      </w:r>
      <w:r/>
    </w:p>
    <w:tbl>
      <w:tblPr>
        <w:tblStyle w:val="807"/>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23"/>
        <w:gridCol w:w="3869"/>
      </w:tblGrid>
      <w:tr>
        <w:trPr/>
        <w:tc>
          <w:tcPr>
            <w:tcBorders>
              <w:top w:val="single" w:color="000000" w:sz="6" w:space="0"/>
              <w:left w:val="single" w:color="000000" w:sz="6" w:space="0"/>
              <w:bottom w:val="single" w:color="000000" w:sz="6" w:space="0"/>
              <w:right w:val="single" w:color="000000" w:sz="6" w:space="0"/>
            </w:tcBorders>
            <w:tcW w:w="5023"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评审因素</w:t>
            </w:r>
            <w:r/>
          </w:p>
        </w:tc>
        <w:tc>
          <w:tcPr>
            <w:tcBorders>
              <w:top w:val="single" w:color="000000" w:sz="6" w:space="0"/>
              <w:left w:val="single" w:color="000000" w:sz="6" w:space="0"/>
              <w:bottom w:val="single" w:color="000000" w:sz="6" w:space="0"/>
              <w:right w:val="single" w:color="000000" w:sz="6" w:space="0"/>
            </w:tcBorders>
            <w:tcW w:w="3869"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5023"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3869"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3"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开标一览表及响应报价</w:t>
            </w:r>
            <w:r/>
          </w:p>
        </w:tc>
        <w:tc>
          <w:tcPr>
            <w:tcBorders>
              <w:top w:val="single" w:color="000000" w:sz="6" w:space="0"/>
              <w:left w:val="single" w:color="000000" w:sz="6" w:space="0"/>
              <w:bottom w:val="single" w:color="000000" w:sz="6" w:space="0"/>
              <w:right w:val="single" w:color="000000" w:sz="6" w:space="0"/>
            </w:tcBorders>
            <w:tcW w:w="3869"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3"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承诺书</w:t>
            </w:r>
            <w:r/>
          </w:p>
        </w:tc>
        <w:tc>
          <w:tcPr>
            <w:tcBorders>
              <w:top w:val="single" w:color="000000" w:sz="6" w:space="0"/>
              <w:left w:val="single" w:color="000000" w:sz="6" w:space="0"/>
              <w:bottom w:val="single" w:color="000000" w:sz="6" w:space="0"/>
              <w:right w:val="single" w:color="000000" w:sz="6" w:space="0"/>
            </w:tcBorders>
            <w:tcW w:w="3869"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5023"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其他</w:t>
            </w:r>
            <w:r/>
          </w:p>
        </w:tc>
        <w:tc>
          <w:tcPr>
            <w:tcBorders>
              <w:top w:val="single" w:color="000000" w:sz="6" w:space="0"/>
              <w:left w:val="single" w:color="000000" w:sz="6" w:space="0"/>
              <w:bottom w:val="single" w:color="000000" w:sz="6" w:space="0"/>
              <w:right w:val="single" w:color="000000" w:sz="6" w:space="0"/>
            </w:tcBorders>
            <w:tcW w:w="3869" w:type="dxa"/>
            <w:vAlign w:val="center"/>
            <w:textDirection w:val="lrTb"/>
            <w:noWrap w:val="false"/>
          </w:tcPr>
          <w:p>
            <w:pPr>
              <w:jc w:val="left"/>
              <w:rPr>
                <w:rFonts w:hint="eastAsia" w:ascii="宋体" w:hAnsi="宋体" w:eastAsia="宋体" w:cs="宋体"/>
              </w:rPr>
            </w:pPr>
            <w:r>
              <w:rPr>
                <w:rFonts w:hint="eastAsia" w:ascii="宋体" w:hAnsi="宋体" w:eastAsia="宋体" w:cs="宋体"/>
                <w:sz w:val="22"/>
              </w:rPr>
              <w:t xml:space="preserve">符合磋商文件要求</w:t>
            </w:r>
            <w:r/>
          </w:p>
        </w:tc>
      </w:tr>
    </w:tbl>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三、评审方法</w:t>
      </w:r>
      <w:r/>
    </w:p>
    <w:p>
      <w:pPr>
        <w:ind w:firstLine="480"/>
        <w:jc w:val="left"/>
        <w:spacing w:line="480" w:lineRule="exact"/>
        <w:rPr>
          <w:rFonts w:hint="eastAsia" w:ascii="宋体" w:hAnsi="宋体" w:eastAsia="宋体" w:cs="宋体"/>
          <w:sz w:val="24"/>
        </w:rPr>
      </w:pPr>
      <w:r>
        <w:rPr>
          <w:rFonts w:hint="eastAsia" w:ascii="宋体" w:hAnsi="宋体" w:eastAsia="宋体" w:cs="宋体"/>
          <w:sz w:val="24"/>
          <w:szCs w:val="28"/>
        </w:rPr>
        <w:t xml:space="preserve">本项目采用综合评分法，评标结果按评审后得分由高到低顺序排列。得分相同的，按投标报价由低到高顺序排序。</w:t>
      </w:r>
      <w:r>
        <w:rPr>
          <w:rFonts w:hint="eastAsia" w:ascii="宋体" w:hAnsi="宋体" w:cs="宋体"/>
          <w:sz w:val="24"/>
          <w:szCs w:val="24"/>
        </w:rPr>
        <w:t xml:space="preserve">得分且报价相同的，按技术指标优劣顺序排列。</w:t>
      </w:r>
      <w:r/>
    </w:p>
    <w:p>
      <w:pPr>
        <w:ind w:firstLine="480"/>
        <w:jc w:val="left"/>
        <w:spacing w:line="480" w:lineRule="exact"/>
        <w:rPr>
          <w:rFonts w:hint="eastAsia" w:ascii="宋体" w:hAnsi="宋体" w:eastAsia="宋体" w:cs="宋体"/>
          <w:sz w:val="24"/>
        </w:rPr>
      </w:pPr>
      <w:r>
        <w:rPr>
          <w:rFonts w:hint="eastAsia" w:ascii="宋体" w:hAnsi="宋体" w:eastAsia="宋体" w:cs="宋体"/>
          <w:sz w:val="24"/>
        </w:rPr>
        <w:t xml:space="preserve">综合评分保留至小数点后两位。</w:t>
      </w:r>
      <w:r/>
    </w:p>
    <w:p>
      <w:pPr>
        <w:ind w:firstLine="480"/>
        <w:jc w:val="left"/>
        <w:spacing w:line="480" w:lineRule="exact"/>
        <w:rPr>
          <w:rFonts w:hint="eastAsia" w:ascii="宋体" w:hAnsi="宋体" w:eastAsia="宋体" w:cs="宋体"/>
          <w:color w:val="ff0000"/>
          <w:sz w:val="24"/>
        </w:rPr>
      </w:pPr>
      <w:r>
        <w:rPr>
          <w:rFonts w:hint="eastAsia" w:ascii="宋体" w:hAnsi="宋体" w:eastAsia="宋体" w:cs="宋体"/>
          <w:sz w:val="24"/>
        </w:rPr>
        <w:t xml:space="preserve">磋商小组根据评标后供应商排序推荐成交候选人，并形成评标报告。磋商文件未规定的评审标准不得作为评标的依据。</w:t>
      </w:r>
      <w:r/>
    </w:p>
    <w:p>
      <w:pPr>
        <w:ind w:firstLine="482"/>
        <w:jc w:val="left"/>
        <w:spacing w:line="480" w:lineRule="exact"/>
        <w:rPr>
          <w:rFonts w:hint="eastAsia" w:ascii="宋体" w:hAnsi="宋体" w:eastAsia="宋体" w:cs="宋体"/>
          <w:b/>
          <w:bCs/>
          <w:sz w:val="24"/>
        </w:rPr>
      </w:pPr>
      <w:r>
        <w:rPr>
          <w:rFonts w:hint="eastAsia" w:ascii="宋体" w:hAnsi="宋体" w:eastAsia="宋体" w:cs="宋体"/>
          <w:b/>
          <w:bCs/>
          <w:sz w:val="24"/>
        </w:rPr>
        <w:t xml:space="preserve">四、评审标准</w:t>
      </w:r>
      <w:r/>
    </w:p>
    <w:tbl>
      <w:tblPr>
        <w:tblStyle w:val="807"/>
        <w:tblW w:w="9033"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552"/>
        <w:gridCol w:w="764"/>
        <w:gridCol w:w="6045"/>
      </w:tblGrid>
      <w:tr>
        <w:trPr>
          <w:trHeight w:val="673"/>
        </w:trPr>
        <w:tc>
          <w:tcPr>
            <w:tcW w:w="672" w:type="dxa"/>
            <w:vAlign w:val="center"/>
            <w:textDirection w:val="lrTb"/>
            <w:noWrap w:val="false"/>
          </w:tcPr>
          <w:p>
            <w:pPr>
              <w:jc w:val="center"/>
              <w:spacing w:line="480" w:lineRule="exact"/>
              <w:rPr>
                <w:rFonts w:hint="eastAsia" w:ascii="宋体" w:hAnsi="宋体" w:eastAsia="宋体" w:cs="宋体"/>
                <w:b/>
                <w:bCs/>
                <w:color w:val="000000"/>
                <w:szCs w:val="21"/>
                <w:lang w:eastAsia="en-US"/>
              </w:rPr>
            </w:pPr>
            <w:r/>
            <w:bookmarkStart w:id="99" w:name="_Toc22280"/>
            <w:r/>
            <w:bookmarkStart w:id="100" w:name="_Toc17639"/>
            <w:r>
              <w:rPr>
                <w:rFonts w:hint="eastAsia" w:ascii="宋体" w:hAnsi="宋体" w:eastAsia="宋体" w:cs="宋体"/>
                <w:b/>
                <w:bCs/>
                <w:color w:val="000000"/>
                <w:szCs w:val="21"/>
                <w:lang w:eastAsia="en-US"/>
              </w:rPr>
              <w:t xml:space="preserve">序号</w:t>
            </w:r>
            <w:r/>
          </w:p>
        </w:tc>
        <w:tc>
          <w:tcPr>
            <w:tcW w:w="1552" w:type="dxa"/>
            <w:vAlign w:val="center"/>
            <w:textDirection w:val="lrTb"/>
            <w:noWrap w:val="false"/>
          </w:tcPr>
          <w:p>
            <w:pPr>
              <w:jc w:val="center"/>
              <w:spacing w:line="400" w:lineRule="exact"/>
              <w:widowControl/>
              <w:rPr>
                <w:rFonts w:hint="eastAsia" w:ascii="宋体" w:hAnsi="宋体" w:eastAsia="宋体" w:cs="宋体"/>
                <w:b/>
                <w:bCs/>
                <w:color w:val="000000"/>
                <w:szCs w:val="21"/>
                <w:lang w:eastAsia="en-US"/>
              </w:rPr>
            </w:pPr>
            <w:r>
              <w:rPr>
                <w:rFonts w:hint="eastAsia" w:ascii="宋体" w:hAnsi="宋体" w:eastAsia="宋体" w:cs="宋体"/>
                <w:b/>
                <w:bCs/>
                <w:color w:val="000000"/>
                <w:szCs w:val="21"/>
                <w:lang w:eastAsia="en-US"/>
              </w:rPr>
              <w:t xml:space="preserve">评分要素</w:t>
            </w:r>
            <w:r/>
          </w:p>
        </w:tc>
        <w:tc>
          <w:tcPr>
            <w:tcW w:w="764" w:type="dxa"/>
            <w:vAlign w:val="center"/>
            <w:textDirection w:val="lrTb"/>
            <w:noWrap w:val="false"/>
          </w:tcPr>
          <w:p>
            <w:pPr>
              <w:jc w:val="center"/>
              <w:spacing w:line="400" w:lineRule="exact"/>
              <w:widowControl/>
              <w:rPr>
                <w:rFonts w:hint="eastAsia" w:ascii="宋体" w:hAnsi="宋体" w:eastAsia="宋体" w:cs="宋体"/>
                <w:b/>
                <w:bCs/>
                <w:color w:val="000000"/>
                <w:szCs w:val="21"/>
                <w:lang w:eastAsia="en-US"/>
              </w:rPr>
            </w:pPr>
            <w:r>
              <w:rPr>
                <w:rFonts w:hint="eastAsia" w:ascii="宋体" w:hAnsi="宋体" w:eastAsia="宋体" w:cs="宋体"/>
                <w:b/>
                <w:bCs/>
                <w:color w:val="000000"/>
                <w:szCs w:val="21"/>
                <w:lang w:eastAsia="en-US"/>
              </w:rPr>
              <w:t xml:space="preserve">分值</w:t>
            </w:r>
            <w:r/>
          </w:p>
        </w:tc>
        <w:tc>
          <w:tcPr>
            <w:tcW w:w="6045" w:type="dxa"/>
            <w:vAlign w:val="center"/>
            <w:textDirection w:val="lrTb"/>
            <w:noWrap w:val="false"/>
          </w:tcPr>
          <w:p>
            <w:pPr>
              <w:jc w:val="center"/>
              <w:spacing w:line="400" w:lineRule="exact"/>
              <w:widowControl/>
              <w:rPr>
                <w:rFonts w:hint="eastAsia" w:ascii="宋体" w:hAnsi="宋体" w:eastAsia="宋体" w:cs="宋体"/>
                <w:b/>
                <w:bCs/>
                <w:color w:val="000000"/>
                <w:szCs w:val="21"/>
                <w:lang w:eastAsia="en-US"/>
              </w:rPr>
            </w:pPr>
            <w:r>
              <w:rPr>
                <w:rFonts w:hint="eastAsia" w:ascii="宋体" w:hAnsi="宋体" w:eastAsia="宋体" w:cs="宋体"/>
                <w:b/>
                <w:bCs/>
                <w:color w:val="000000"/>
                <w:szCs w:val="21"/>
                <w:lang w:eastAsia="en-US"/>
              </w:rPr>
              <w:t xml:space="preserve">评分标准</w:t>
            </w:r>
            <w:r/>
          </w:p>
        </w:tc>
      </w:tr>
      <w:tr>
        <w:trPr/>
        <w:tc>
          <w:tcPr>
            <w:tcW w:w="67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15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价格</w:t>
            </w:r>
            <w:r/>
          </w:p>
        </w:tc>
        <w:tc>
          <w:tcPr>
            <w:tcW w:w="7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40</w:t>
            </w:r>
            <w:r/>
          </w:p>
        </w:tc>
        <w:tc>
          <w:tcPr>
            <w:tcW w:w="6045"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采用低价优先法计算，即满足磋商文件要求且投标价格最低的投标报价为评审基准价，其价格分为满分。其他供应商投标报价得分＝（评审基准价/投标报价）×40。</w:t>
            </w:r>
            <w:r/>
          </w:p>
          <w:p>
            <w:pPr>
              <w:jc w:val="left"/>
              <w:rPr>
                <w:rFonts w:hint="eastAsia" w:ascii="宋体" w:hAnsi="宋体" w:eastAsia="宋体" w:cs="宋体"/>
                <w:szCs w:val="21"/>
              </w:rPr>
            </w:pPr>
            <w:r>
              <w:rPr>
                <w:rFonts w:hint="eastAsia" w:ascii="宋体" w:hAnsi="宋体" w:eastAsia="宋体" w:cs="宋体"/>
                <w:szCs w:val="21"/>
              </w:rPr>
              <w:t xml:space="preserve">注：符合条件的小微型企业、监狱企业或残疾人福利性单位参与投标的，对其报价给予</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%的扣除，用扣除后的价格参与评审。</w:t>
            </w:r>
            <w:r/>
          </w:p>
        </w:tc>
      </w:tr>
      <w:tr>
        <w:trPr/>
        <w:tc>
          <w:tcPr>
            <w:tcW w:w="67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15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技术参数</w:t>
            </w:r>
            <w:r/>
          </w:p>
        </w:tc>
        <w:tc>
          <w:tcPr>
            <w:tcW w:w="7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20</w:t>
            </w:r>
            <w:r/>
          </w:p>
        </w:tc>
        <w:tc>
          <w:tcPr>
            <w:tcW w:w="6045"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针对磋商文件"第四部分、采购需求"中的"清单中技术参数要求"所列内容进行评分，所投产品技术参数完全满足或优于磋商文件技术参数要求的得20分。</w:t>
            </w:r>
            <w:r>
              <w:rPr>
                <w:rFonts w:hint="eastAsia" w:ascii="宋体" w:hAnsi="宋体" w:eastAsia="宋体" w:cs="宋体"/>
                <w:szCs w:val="21"/>
              </w:rPr>
              <w:br/>
            </w:r>
            <w:r>
              <w:rPr>
                <w:rFonts w:hint="eastAsia" w:ascii="宋体" w:hAnsi="宋体" w:eastAsia="宋体" w:cs="宋体"/>
                <w:szCs w:val="21"/>
              </w:rPr>
              <w:t xml:space="preserve">1."▲"为重点参数要求，每有一项（一个句号的完整内容为一"项"）不满足的扣1分，扣完为止；</w:t>
            </w:r>
            <w:r>
              <w:rPr>
                <w:rFonts w:hint="eastAsia" w:ascii="宋体" w:hAnsi="宋体" w:eastAsia="宋体" w:cs="宋体"/>
                <w:szCs w:val="21"/>
              </w:rPr>
              <w:br/>
            </w:r>
            <w:r>
              <w:rPr>
                <w:rFonts w:hint="eastAsia" w:ascii="宋体" w:hAnsi="宋体" w:eastAsia="宋体" w:cs="宋体"/>
                <w:szCs w:val="21"/>
              </w:rPr>
              <w:t xml:space="preserve">注：1、供应商针对本项评分内容在响应文件《技术要求响应及偏离表》中逐条列出响应及偏离情况，采购需求中要求提供证明材料的，以证明材料为准，并详细标明所在响应文件中的位置；采购需求中未要求提供证明材料的，以《技术要求响应及偏离表》为准。2、未按要求提供证明材料或未在响应偏离表中列明偏离情况的对应项按负偏离进行扣分处理。</w:t>
            </w:r>
            <w:r/>
          </w:p>
        </w:tc>
      </w:tr>
      <w:tr>
        <w:trPr/>
        <w:tc>
          <w:tcPr>
            <w:tcW w:w="67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15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项目实施方案</w:t>
            </w:r>
            <w:r/>
          </w:p>
        </w:tc>
        <w:tc>
          <w:tcPr>
            <w:tcW w:w="7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W w:w="6045" w:type="dxa"/>
            <w:vAlign w:val="center"/>
            <w:textDirection w:val="lrTb"/>
            <w:noWrap w:val="false"/>
          </w:tcPr>
          <w:p>
            <w:pPr>
              <w:rPr>
                <w:rFonts w:hint="default" w:ascii="宋体" w:hAnsi="宋体" w:eastAsia="宋体" w:cs="宋体"/>
                <w:szCs w:val="21"/>
                <w:lang w:val="en-US" w:eastAsia="zh-CN"/>
              </w:rPr>
            </w:pPr>
            <w:r>
              <w:rPr>
                <w:rFonts w:hint="eastAsia" w:ascii="宋体" w:hAnsi="宋体" w:eastAsia="宋体" w:cs="宋体"/>
                <w:szCs w:val="21"/>
              </w:rPr>
              <w:t xml:space="preserve">根据供应商提供的项目实施方案进行综合评审：</w:t>
            </w:r>
            <w:r>
              <w:rPr>
                <w:rFonts w:hint="eastAsia" w:ascii="宋体" w:hAnsi="宋体" w:eastAsia="宋体" w:cs="宋体"/>
                <w:szCs w:val="21"/>
              </w:rPr>
              <w:br/>
            </w:r>
            <w:r>
              <w:rPr>
                <w:rFonts w:hint="eastAsia" w:ascii="宋体" w:hAnsi="宋体" w:eastAsia="宋体" w:cs="宋体"/>
                <w:szCs w:val="21"/>
              </w:rPr>
              <w:t xml:space="preserve">1.系统开发集成方案：</w:t>
            </w:r>
            <w:r>
              <w:rPr>
                <w:rFonts w:hint="eastAsia" w:ascii="宋体" w:hAnsi="宋体" w:cs="宋体"/>
                <w:szCs w:val="21"/>
                <w:lang w:val="en-US" w:eastAsia="zh-CN"/>
              </w:rPr>
              <w:t xml:space="preserve">包含</w:t>
            </w:r>
            <w:r>
              <w:rPr>
                <w:rFonts w:hint="eastAsia" w:ascii="宋体" w:hAnsi="宋体" w:eastAsia="宋体" w:cs="宋体"/>
                <w:szCs w:val="21"/>
              </w:rPr>
              <w:t xml:space="preserve">自动控制系统整合完善开发集成方案</w:t>
            </w:r>
            <w:r>
              <w:rPr>
                <w:rFonts w:hint="eastAsia" w:ascii="宋体" w:hAnsi="宋体" w:cs="宋体"/>
                <w:szCs w:val="21"/>
                <w:lang w:eastAsia="zh-CN"/>
              </w:rPr>
              <w:t xml:space="preserve">、</w:t>
            </w:r>
            <w:r>
              <w:rPr>
                <w:rFonts w:hint="eastAsia" w:ascii="宋体" w:hAnsi="宋体" w:eastAsia="宋体" w:cs="宋体"/>
                <w:szCs w:val="21"/>
              </w:rPr>
              <w:t xml:space="preserve">视频监测与AI巡检联动</w:t>
            </w:r>
            <w:r>
              <w:rPr>
                <w:rFonts w:hint="eastAsia" w:ascii="宋体" w:hAnsi="宋体" w:cs="宋体"/>
                <w:szCs w:val="21"/>
                <w:lang w:val="en-US" w:eastAsia="zh-CN"/>
              </w:rPr>
              <w:t xml:space="preserve">、</w:t>
            </w:r>
            <w:r>
              <w:rPr>
                <w:rFonts w:hint="eastAsia" w:ascii="宋体" w:hAnsi="宋体" w:eastAsia="宋体" w:cs="宋体"/>
                <w:szCs w:val="21"/>
              </w:rPr>
              <w:t xml:space="preserve">主变及GIS开关监测</w:t>
            </w:r>
            <w:r>
              <w:rPr>
                <w:rFonts w:hint="eastAsia" w:ascii="宋体" w:hAnsi="宋体" w:cs="宋体"/>
                <w:szCs w:val="21"/>
                <w:lang w:eastAsia="zh-CN"/>
              </w:rPr>
              <w:t xml:space="preserve">、</w:t>
            </w:r>
            <w:r>
              <w:rPr>
                <w:rFonts w:hint="eastAsia" w:ascii="宋体" w:hAnsi="宋体" w:eastAsia="宋体" w:cs="宋体"/>
                <w:szCs w:val="21"/>
              </w:rPr>
              <w:t xml:space="preserve">安全管理设施改造开发集成方案</w:t>
            </w:r>
            <w:r>
              <w:rPr>
                <w:rFonts w:hint="eastAsia" w:ascii="宋体" w:hAnsi="宋体" w:cs="宋体"/>
                <w:szCs w:val="21"/>
                <w:lang w:eastAsia="zh-CN"/>
              </w:rPr>
              <w:t xml:space="preserve">，</w:t>
            </w:r>
            <w:r>
              <w:rPr>
                <w:rFonts w:hint="eastAsia" w:ascii="宋体" w:hAnsi="宋体" w:cs="宋体"/>
                <w:szCs w:val="21"/>
                <w:lang w:val="en-US" w:eastAsia="zh-CN"/>
              </w:rPr>
              <w:t xml:space="preserve">方案全面、详实</w:t>
            </w:r>
            <w:r>
              <w:rPr>
                <w:rFonts w:hint="eastAsia" w:ascii="宋体" w:hAnsi="宋体" w:eastAsia="宋体" w:cs="宋体"/>
                <w:szCs w:val="21"/>
              </w:rPr>
              <w:t xml:space="preserve">可行</w:t>
            </w:r>
            <w:r>
              <w:rPr>
                <w:rFonts w:hint="eastAsia" w:ascii="宋体" w:hAnsi="宋体" w:cs="宋体"/>
                <w:szCs w:val="21"/>
                <w:lang w:val="en-US" w:eastAsia="zh-CN"/>
              </w:rPr>
              <w:t xml:space="preserve">的</w:t>
            </w:r>
            <w:r>
              <w:rPr>
                <w:rFonts w:hint="eastAsia" w:ascii="宋体" w:hAnsi="宋体" w:eastAsia="宋体" w:cs="宋体"/>
                <w:szCs w:val="21"/>
              </w:rPr>
              <w:t xml:space="preserve">得</w:t>
            </w:r>
            <w:r>
              <w:rPr>
                <w:rFonts w:hint="eastAsia" w:ascii="宋体" w:hAnsi="宋体" w:cs="宋体"/>
                <w:szCs w:val="21"/>
                <w:lang w:val="en-US" w:eastAsia="zh-CN"/>
              </w:rPr>
              <w:t xml:space="preserve">8</w:t>
            </w:r>
            <w:r>
              <w:rPr>
                <w:rFonts w:hint="eastAsia" w:ascii="宋体" w:hAnsi="宋体" w:eastAsia="宋体" w:cs="宋体"/>
                <w:szCs w:val="21"/>
              </w:rPr>
              <w:t xml:space="preserve">分，</w:t>
            </w:r>
            <w:r>
              <w:rPr>
                <w:rFonts w:hint="eastAsia" w:ascii="宋体" w:hAnsi="宋体" w:cs="宋体"/>
                <w:szCs w:val="21"/>
                <w:lang w:val="en-US" w:eastAsia="zh-CN"/>
              </w:rPr>
              <w:t xml:space="preserve">方案较全面、较详实的得4分；方案不太全面、基本详实的得1分，本项最高得8分，未提供不得分</w:t>
            </w:r>
            <w:r>
              <w:rPr>
                <w:rFonts w:hint="eastAsia" w:ascii="宋体" w:hAnsi="宋体" w:eastAsia="宋体" w:cs="宋体"/>
                <w:szCs w:val="21"/>
              </w:rPr>
              <w:t xml:space="preserve">。</w:t>
            </w:r>
            <w:r/>
          </w:p>
          <w:p>
            <w:pPr>
              <w:rPr>
                <w:rFonts w:hint="eastAsia" w:ascii="宋体" w:hAnsi="宋体" w:eastAsia="宋体" w:cs="宋体"/>
                <w:szCs w:val="21"/>
              </w:rPr>
            </w:pPr>
            <w:r>
              <w:rPr>
                <w:rFonts w:hint="eastAsia" w:ascii="宋体" w:hAnsi="宋体" w:eastAsia="宋体" w:cs="宋体"/>
                <w:szCs w:val="21"/>
              </w:rPr>
              <w:t xml:space="preserve">2.供货方案：供货计划科学合理、进度安排明确、质量保障措施完善的得1分；方案</w:t>
            </w:r>
            <w:r>
              <w:rPr>
                <w:rFonts w:hint="eastAsia" w:ascii="宋体" w:hAnsi="宋体" w:cs="宋体"/>
                <w:szCs w:val="21"/>
                <w:lang w:val="en-US" w:eastAsia="zh-CN"/>
              </w:rPr>
              <w:t xml:space="preserve">较全面、</w:t>
            </w:r>
            <w:r>
              <w:rPr>
                <w:rFonts w:hint="eastAsia" w:ascii="宋体" w:hAnsi="宋体" w:eastAsia="宋体" w:cs="宋体"/>
                <w:szCs w:val="21"/>
              </w:rPr>
              <w:t xml:space="preserve">基本可行的得0.5分；</w:t>
            </w:r>
            <w:r>
              <w:rPr>
                <w:rFonts w:hint="eastAsia" w:ascii="宋体" w:hAnsi="宋体" w:cs="宋体"/>
                <w:szCs w:val="21"/>
                <w:lang w:val="en-US" w:eastAsia="zh-CN"/>
              </w:rPr>
              <w:t xml:space="preserve">本项最高得1分，</w:t>
            </w:r>
            <w:r>
              <w:rPr>
                <w:rFonts w:hint="eastAsia" w:ascii="宋体" w:hAnsi="宋体" w:eastAsia="宋体" w:cs="宋体"/>
                <w:szCs w:val="21"/>
              </w:rPr>
              <w:t xml:space="preserve">方案不完善的</w:t>
            </w:r>
            <w:r>
              <w:rPr>
                <w:rFonts w:hint="eastAsia" w:ascii="宋体" w:hAnsi="宋体" w:cs="宋体"/>
                <w:szCs w:val="21"/>
                <w:lang w:val="en-US" w:eastAsia="zh-CN"/>
              </w:rPr>
              <w:t xml:space="preserve">或没有内容的不</w:t>
            </w:r>
            <w:r>
              <w:rPr>
                <w:rFonts w:hint="eastAsia" w:ascii="宋体" w:hAnsi="宋体" w:eastAsia="宋体" w:cs="宋体"/>
                <w:szCs w:val="21"/>
              </w:rPr>
              <w:t xml:space="preserve">得分。</w:t>
            </w:r>
            <w:r>
              <w:rPr>
                <w:rFonts w:hint="eastAsia" w:ascii="宋体" w:hAnsi="宋体" w:eastAsia="宋体" w:cs="宋体"/>
                <w:szCs w:val="21"/>
              </w:rPr>
              <w:br/>
            </w:r>
            <w:r>
              <w:rPr>
                <w:rFonts w:hint="eastAsia" w:ascii="宋体" w:hAnsi="宋体" w:eastAsia="宋体" w:cs="宋体"/>
                <w:szCs w:val="21"/>
              </w:rPr>
              <w:t xml:space="preserve">3.安装调试方案：安装调试流程清晰、技术措施完善、安全保障到位的，得1分；方案</w:t>
            </w:r>
            <w:r>
              <w:rPr>
                <w:rFonts w:hint="eastAsia" w:ascii="宋体" w:hAnsi="宋体" w:cs="宋体"/>
                <w:szCs w:val="21"/>
                <w:lang w:val="en-US" w:eastAsia="zh-CN"/>
              </w:rPr>
              <w:t xml:space="preserve">较全面、</w:t>
            </w:r>
            <w:r>
              <w:rPr>
                <w:rFonts w:hint="eastAsia" w:ascii="宋体" w:hAnsi="宋体" w:eastAsia="宋体" w:cs="宋体"/>
                <w:szCs w:val="21"/>
              </w:rPr>
              <w:t xml:space="preserve">基本可行的得0.5分；</w:t>
            </w:r>
            <w:r>
              <w:rPr>
                <w:rFonts w:hint="eastAsia" w:ascii="宋体" w:hAnsi="宋体" w:cs="宋体"/>
                <w:szCs w:val="21"/>
                <w:lang w:val="en-US" w:eastAsia="zh-CN"/>
              </w:rPr>
              <w:t xml:space="preserve">本项最高得1分，</w:t>
            </w:r>
            <w:r>
              <w:rPr>
                <w:rFonts w:hint="eastAsia" w:ascii="宋体" w:hAnsi="宋体" w:eastAsia="宋体" w:cs="宋体"/>
                <w:szCs w:val="21"/>
              </w:rPr>
              <w:t xml:space="preserve">方案不完善的</w:t>
            </w:r>
            <w:r>
              <w:rPr>
                <w:rFonts w:hint="eastAsia" w:ascii="宋体" w:hAnsi="宋体" w:cs="宋体"/>
                <w:szCs w:val="21"/>
                <w:lang w:val="en-US" w:eastAsia="zh-CN"/>
              </w:rPr>
              <w:t xml:space="preserve">或没有内容的</w:t>
            </w:r>
            <w:r>
              <w:rPr>
                <w:rFonts w:hint="eastAsia" w:ascii="宋体" w:hAnsi="宋体" w:eastAsia="宋体" w:cs="宋体"/>
                <w:szCs w:val="21"/>
              </w:rPr>
              <w:t xml:space="preserve">不得分。</w:t>
            </w:r>
            <w:r>
              <w:rPr>
                <w:rFonts w:hint="eastAsia" w:ascii="宋体" w:hAnsi="宋体" w:eastAsia="宋体" w:cs="宋体"/>
                <w:szCs w:val="21"/>
              </w:rPr>
              <w:br/>
            </w:r>
            <w:r>
              <w:rPr>
                <w:rFonts w:hint="eastAsia" w:ascii="宋体" w:hAnsi="宋体" w:eastAsia="宋体" w:cs="宋体"/>
                <w:szCs w:val="21"/>
              </w:rPr>
              <w:t xml:space="preserve">4.项目管理与质量保障方案：项目组织架构健全、职责分工明确、进度计划合理、质量控制措施完善、风险应对预案可行的，得</w:t>
            </w:r>
            <w:r>
              <w:rPr>
                <w:rFonts w:hint="eastAsia" w:ascii="宋体" w:hAnsi="宋体" w:cs="宋体"/>
                <w:szCs w:val="21"/>
                <w:lang w:val="en-US" w:eastAsia="zh-CN"/>
              </w:rPr>
              <w:t xml:space="preserve">2</w:t>
            </w:r>
            <w:r>
              <w:rPr>
                <w:rFonts w:hint="eastAsia" w:ascii="宋体" w:hAnsi="宋体" w:eastAsia="宋体" w:cs="宋体"/>
                <w:szCs w:val="21"/>
              </w:rPr>
              <w:t xml:space="preserve">分；方案基</w:t>
            </w:r>
            <w:r>
              <w:rPr>
                <w:rFonts w:hint="eastAsia" w:ascii="宋体" w:hAnsi="宋体" w:cs="宋体"/>
                <w:szCs w:val="21"/>
                <w:lang w:val="en-US" w:eastAsia="zh-CN"/>
              </w:rPr>
              <w:t xml:space="preserve">较全面、基本</w:t>
            </w:r>
            <w:r>
              <w:rPr>
                <w:rFonts w:hint="eastAsia" w:ascii="宋体" w:hAnsi="宋体" w:eastAsia="宋体" w:cs="宋体"/>
                <w:szCs w:val="21"/>
              </w:rPr>
              <w:t xml:space="preserve">可行的，得</w:t>
            </w:r>
            <w:r>
              <w:rPr>
                <w:rFonts w:hint="eastAsia" w:ascii="宋体" w:hAnsi="宋体" w:cs="宋体"/>
                <w:szCs w:val="21"/>
                <w:lang w:val="en-US" w:eastAsia="zh-CN"/>
              </w:rPr>
              <w:t xml:space="preserve">1</w:t>
            </w:r>
            <w:r>
              <w:rPr>
                <w:rFonts w:hint="eastAsia" w:ascii="宋体" w:hAnsi="宋体" w:eastAsia="宋体" w:cs="宋体"/>
                <w:szCs w:val="21"/>
              </w:rPr>
              <w:t xml:space="preserve">分；</w:t>
            </w:r>
            <w:r>
              <w:rPr>
                <w:rFonts w:hint="eastAsia" w:ascii="宋体" w:hAnsi="宋体" w:cs="宋体"/>
                <w:szCs w:val="21"/>
                <w:lang w:val="en-US" w:eastAsia="zh-CN"/>
              </w:rPr>
              <w:t xml:space="preserve">本项最高得2分，</w:t>
            </w:r>
            <w:r>
              <w:rPr>
                <w:rFonts w:hint="eastAsia" w:ascii="宋体" w:hAnsi="宋体" w:eastAsia="宋体" w:cs="宋体"/>
                <w:szCs w:val="21"/>
              </w:rPr>
              <w:t xml:space="preserve">方案不完善的</w:t>
            </w:r>
            <w:r>
              <w:rPr>
                <w:rFonts w:hint="eastAsia" w:ascii="宋体" w:hAnsi="宋体" w:cs="宋体"/>
                <w:szCs w:val="21"/>
                <w:lang w:val="en-US" w:eastAsia="zh-CN"/>
              </w:rPr>
              <w:t xml:space="preserve">或没有内容的</w:t>
            </w:r>
            <w:r>
              <w:rPr>
                <w:rFonts w:hint="eastAsia" w:ascii="宋体" w:hAnsi="宋体" w:eastAsia="宋体" w:cs="宋体"/>
                <w:szCs w:val="21"/>
              </w:rPr>
              <w:t xml:space="preserve">不得分。</w:t>
            </w:r>
            <w:r/>
          </w:p>
        </w:tc>
      </w:tr>
      <w:tr>
        <w:trPr/>
        <w:tc>
          <w:tcPr>
            <w:tcW w:w="67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15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培训方案</w:t>
            </w:r>
            <w:r/>
          </w:p>
        </w:tc>
        <w:tc>
          <w:tcPr>
            <w:tcW w:w="7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6045" w:type="dxa"/>
            <w:vAlign w:val="center"/>
            <w:textDirection w:val="lrTb"/>
            <w:noWrap w:val="false"/>
          </w:tcPr>
          <w:p>
            <w:pPr>
              <w:numPr>
                <w:ilvl w:val="1"/>
                <w:numId w:val="0"/>
              </w:numPr>
              <w:tabs>
                <w:tab w:val="left" w:pos="1080" w:leader="none"/>
              </w:tabs>
              <w:rPr>
                <w:rFonts w:hint="eastAsia" w:ascii="宋体" w:hAnsi="宋体" w:eastAsia="宋体" w:cs="宋体"/>
                <w:szCs w:val="21"/>
              </w:rPr>
            </w:pPr>
            <w:r>
              <w:rPr>
                <w:rFonts w:hint="eastAsia" w:ascii="宋体" w:hAnsi="宋体" w:eastAsia="宋体" w:cs="宋体"/>
                <w:szCs w:val="21"/>
              </w:rPr>
              <w:t xml:space="preserve">根据供应商提供的培训服务方案进行综合评审打分：</w:t>
            </w:r>
            <w:r/>
          </w:p>
          <w:p>
            <w:pPr>
              <w:numPr>
                <w:ilvl w:val="1"/>
                <w:numId w:val="0"/>
              </w:numPr>
              <w:tabs>
                <w:tab w:val="left" w:pos="1080" w:leader="none"/>
              </w:tabs>
              <w:rPr>
                <w:rFonts w:hint="eastAsia" w:ascii="宋体" w:hAnsi="宋体" w:eastAsia="宋体" w:cs="宋体"/>
                <w:szCs w:val="21"/>
              </w:rPr>
            </w:pPr>
            <w:r>
              <w:rPr>
                <w:rFonts w:hint="eastAsia" w:ascii="宋体" w:hAnsi="宋体" w:eastAsia="宋体" w:cs="宋体"/>
                <w:szCs w:val="21"/>
              </w:rPr>
              <w:t xml:space="preserve">1、培训方案全面合理有效，具有详细的培训计划、培训师资力量、培训内容</w:t>
            </w:r>
            <w:r>
              <w:rPr>
                <w:rFonts w:hint="eastAsia" w:ascii="宋体" w:hAnsi="宋体" w:cs="宋体"/>
                <w:szCs w:val="21"/>
                <w:lang w:val="en-US" w:eastAsia="zh-CN"/>
              </w:rPr>
              <w:t xml:space="preserve">的</w:t>
            </w:r>
            <w:r>
              <w:rPr>
                <w:rFonts w:hint="eastAsia" w:ascii="宋体" w:hAnsi="宋体" w:eastAsia="宋体" w:cs="宋体"/>
                <w:szCs w:val="21"/>
              </w:rPr>
              <w:t xml:space="preserve">得4分；培训方案不够全面，有效性欠缺，培训计划、培训师资力量、培训内容不够详细</w:t>
            </w:r>
            <w:r>
              <w:rPr>
                <w:rFonts w:hint="eastAsia" w:ascii="宋体" w:hAnsi="宋体" w:cs="宋体"/>
                <w:szCs w:val="21"/>
                <w:lang w:val="en-US" w:eastAsia="zh-CN"/>
              </w:rPr>
              <w:t xml:space="preserve">的</w:t>
            </w:r>
            <w:r>
              <w:rPr>
                <w:rFonts w:hint="eastAsia" w:ascii="宋体" w:hAnsi="宋体" w:eastAsia="宋体" w:cs="宋体"/>
                <w:szCs w:val="21"/>
              </w:rPr>
              <w:t xml:space="preserve">得2分；培训方案片面，不具有执行有效性，培训计划、培训师资力量、培训内容不详细</w:t>
            </w:r>
            <w:r>
              <w:rPr>
                <w:rFonts w:hint="eastAsia" w:ascii="宋体" w:hAnsi="宋体" w:cs="宋体"/>
                <w:szCs w:val="21"/>
                <w:lang w:val="en-US" w:eastAsia="zh-CN"/>
              </w:rPr>
              <w:t xml:space="preserve">的</w:t>
            </w:r>
            <w:r>
              <w:rPr>
                <w:rFonts w:hint="eastAsia" w:ascii="宋体" w:hAnsi="宋体" w:eastAsia="宋体" w:cs="宋体"/>
                <w:szCs w:val="21"/>
              </w:rPr>
              <w:t xml:space="preserve">得1分。</w:t>
            </w:r>
            <w:r>
              <w:rPr>
                <w:rFonts w:hint="eastAsia" w:ascii="宋体" w:hAnsi="宋体" w:cs="宋体"/>
                <w:szCs w:val="21"/>
                <w:lang w:val="en-US" w:eastAsia="zh-CN"/>
              </w:rPr>
              <w:t xml:space="preserve">本项最高得4分，未提供</w:t>
            </w:r>
            <w:r>
              <w:rPr>
                <w:rFonts w:hint="eastAsia" w:ascii="宋体" w:hAnsi="宋体" w:eastAsia="宋体" w:cs="宋体"/>
                <w:szCs w:val="21"/>
              </w:rPr>
              <w:t xml:space="preserve">不得分。</w:t>
            </w:r>
            <w:r/>
          </w:p>
        </w:tc>
      </w:tr>
      <w:tr>
        <w:trPr>
          <w:trHeight w:val="1764"/>
        </w:trPr>
        <w:tc>
          <w:tcPr>
            <w:tcW w:w="672"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5</w:t>
            </w:r>
            <w:r/>
          </w:p>
        </w:tc>
        <w:tc>
          <w:tcPr>
            <w:shd w:val="clear" w:color="auto" w:fill="auto"/>
            <w:tcW w:w="1552"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Cs w:val="21"/>
              </w:rPr>
              <w:t xml:space="preserve">售后服务方案</w:t>
            </w:r>
            <w:r/>
          </w:p>
        </w:tc>
        <w:tc>
          <w:tcPr>
            <w:shd w:val="clear" w:color="auto" w:fill="auto"/>
            <w:tcW w:w="764"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eastAsia="宋体" w:cs="宋体"/>
                <w:szCs w:val="21"/>
              </w:rPr>
              <w:t xml:space="preserve">3</w:t>
            </w:r>
            <w:r/>
          </w:p>
        </w:tc>
        <w:tc>
          <w:tcPr>
            <w:shd w:val="clear" w:color="auto" w:fill="auto"/>
            <w:tcW w:w="6045"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供应商有明确的后期维修服务方案，方案中包含：后期服务体</w:t>
            </w:r>
            <w:r/>
          </w:p>
          <w:p>
            <w:pPr>
              <w:jc w:val="left"/>
              <w:rPr>
                <w:rFonts w:hint="eastAsia" w:ascii="宋体" w:hAnsi="宋体" w:eastAsia="宋体" w:cs="宋体"/>
                <w:szCs w:val="21"/>
              </w:rPr>
            </w:pPr>
            <w:r>
              <w:rPr>
                <w:rFonts w:hint="eastAsia" w:ascii="宋体" w:hAnsi="宋体" w:eastAsia="宋体" w:cs="宋体"/>
                <w:szCs w:val="21"/>
              </w:rPr>
              <w:t xml:space="preserve">系、应急响应方案、质保期服务方案等内容。</w:t>
            </w:r>
            <w:r/>
          </w:p>
          <w:p>
            <w:pPr>
              <w:jc w:val="left"/>
              <w:rPr>
                <w:rFonts w:hint="eastAsia" w:ascii="宋体" w:hAnsi="宋体" w:eastAsia="宋体" w:cs="宋体"/>
                <w:sz w:val="21"/>
                <w:szCs w:val="21"/>
                <w:lang w:val="en-US" w:eastAsia="zh-CN" w:bidi="ar-SA"/>
              </w:rPr>
            </w:pPr>
            <w:r>
              <w:rPr>
                <w:rFonts w:hint="eastAsia" w:ascii="宋体" w:hAnsi="宋体" w:eastAsia="宋体" w:cs="宋体"/>
                <w:szCs w:val="21"/>
              </w:rPr>
              <w:t xml:space="preserve">方案完整、可行，能完全满足项目实施要求，得3分；方案较具体、可行，能基本满足项目实施要求，得2分；方案内容较简单，对项目实施要求响应一般，得1分。</w:t>
            </w:r>
            <w:r>
              <w:rPr>
                <w:rFonts w:hint="eastAsia" w:ascii="宋体" w:hAnsi="宋体" w:cs="宋体"/>
                <w:szCs w:val="21"/>
                <w:lang w:val="en-US" w:eastAsia="zh-CN"/>
              </w:rPr>
              <w:t xml:space="preserve">本项最高得3分，</w:t>
            </w:r>
            <w:r>
              <w:rPr>
                <w:rFonts w:hint="eastAsia" w:ascii="宋体" w:hAnsi="宋体" w:eastAsia="宋体" w:cs="宋体"/>
                <w:szCs w:val="21"/>
              </w:rPr>
              <w:t xml:space="preserve">未提供或无相关内容的不得分。</w:t>
            </w:r>
            <w:r/>
          </w:p>
        </w:tc>
      </w:tr>
      <w:tr>
        <w:trPr>
          <w:trHeight w:val="451"/>
        </w:trPr>
        <w:tc>
          <w:tcPr>
            <w:tcW w:w="672"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6</w:t>
            </w:r>
            <w:r/>
          </w:p>
        </w:tc>
        <w:tc>
          <w:tcPr>
            <w:tcW w:w="15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企业业绩</w:t>
            </w:r>
            <w:r/>
          </w:p>
        </w:tc>
        <w:tc>
          <w:tcPr>
            <w:tcW w:w="7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6045"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供应商自2023年1月1日以来（以合同签订时间为准）承担过水利工程信息化</w:t>
            </w:r>
            <w:r>
              <w:rPr>
                <w:rFonts w:hint="eastAsia" w:ascii="宋体" w:hAnsi="宋体" w:cs="宋体"/>
                <w:szCs w:val="21"/>
                <w:lang w:val="en-US" w:eastAsia="zh-CN"/>
              </w:rPr>
              <w:t xml:space="preserve">或</w:t>
            </w:r>
            <w:r>
              <w:rPr>
                <w:rFonts w:hint="eastAsia" w:ascii="宋体" w:hAnsi="宋体" w:eastAsia="宋体" w:cs="宋体"/>
                <w:szCs w:val="21"/>
              </w:rPr>
              <w:t xml:space="preserve">智能化监测</w:t>
            </w:r>
            <w:r>
              <w:rPr>
                <w:rFonts w:hint="eastAsia" w:ascii="宋体" w:hAnsi="宋体" w:cs="宋体"/>
                <w:szCs w:val="21"/>
                <w:lang w:val="en-US" w:eastAsia="zh-CN"/>
              </w:rPr>
              <w:t xml:space="preserve">或</w:t>
            </w:r>
            <w:r>
              <w:rPr>
                <w:rFonts w:hint="eastAsia" w:ascii="宋体" w:hAnsi="宋体" w:eastAsia="宋体" w:cs="宋体"/>
                <w:szCs w:val="21"/>
              </w:rPr>
              <w:t xml:space="preserve">自动化监控系统开发类项目（含开发、集成、实施等）业绩，每提供一个得2分，</w:t>
            </w:r>
            <w:r>
              <w:rPr>
                <w:rFonts w:hint="eastAsia" w:ascii="宋体" w:hAnsi="宋体" w:cs="宋体"/>
                <w:szCs w:val="21"/>
                <w:lang w:val="en-US" w:eastAsia="zh-CN"/>
              </w:rPr>
              <w:t xml:space="preserve">本项</w:t>
            </w:r>
            <w:r>
              <w:rPr>
                <w:rFonts w:hint="eastAsia" w:ascii="宋体" w:hAnsi="宋体" w:eastAsia="宋体" w:cs="宋体"/>
                <w:szCs w:val="21"/>
              </w:rPr>
              <w:t xml:space="preserve">最高得6分。</w:t>
            </w:r>
            <w:r>
              <w:rPr>
                <w:rFonts w:hint="eastAsia" w:ascii="宋体" w:hAnsi="宋体" w:eastAsia="宋体" w:cs="宋体"/>
                <w:szCs w:val="21"/>
              </w:rPr>
              <w:br/>
            </w:r>
            <w:r>
              <w:rPr>
                <w:rFonts w:hint="eastAsia" w:ascii="宋体" w:hAnsi="宋体" w:eastAsia="宋体" w:cs="宋体"/>
                <w:szCs w:val="21"/>
              </w:rPr>
              <w:t xml:space="preserve">注：须同时提供以下证明材料，缺一不可：</w:t>
            </w:r>
            <w:r>
              <w:rPr>
                <w:rFonts w:hint="eastAsia" w:ascii="宋体" w:hAnsi="宋体" w:eastAsia="宋体" w:cs="宋体"/>
                <w:szCs w:val="21"/>
              </w:rPr>
              <w:br/>
            </w:r>
            <w:r>
              <w:rPr>
                <w:rFonts w:hint="eastAsia" w:ascii="宋体" w:hAnsi="宋体" w:eastAsia="宋体" w:cs="宋体"/>
                <w:szCs w:val="21"/>
              </w:rPr>
              <w:t xml:space="preserve">（1）</w:t>
            </w:r>
            <w:r>
              <w:rPr>
                <w:rFonts w:hint="eastAsia" w:ascii="宋体" w:hAnsi="宋体" w:cs="宋体"/>
                <w:szCs w:val="21"/>
                <w:lang w:val="en-US" w:eastAsia="zh-CN"/>
              </w:rPr>
              <w:t xml:space="preserve">具有类似业绩</w:t>
            </w:r>
            <w:r>
              <w:rPr>
                <w:rFonts w:hint="eastAsia" w:ascii="宋体" w:hAnsi="宋体" w:eastAsia="宋体" w:cs="宋体"/>
                <w:szCs w:val="21"/>
              </w:rPr>
              <w:t xml:space="preserve">合同关键页（须含合同首页、标的内容页、金额页、签字盖章页）</w:t>
            </w:r>
            <w:r>
              <w:rPr>
                <w:rFonts w:hint="eastAsia" w:ascii="宋体" w:hAnsi="宋体" w:cs="宋体"/>
                <w:szCs w:val="21"/>
                <w:lang w:val="en-US" w:eastAsia="zh-CN"/>
              </w:rPr>
              <w:t xml:space="preserve">的电子扫描件</w:t>
            </w:r>
            <w:r>
              <w:rPr>
                <w:rFonts w:hint="eastAsia" w:ascii="宋体" w:hAnsi="宋体" w:eastAsia="宋体" w:cs="宋体"/>
                <w:szCs w:val="21"/>
              </w:rPr>
              <w:t xml:space="preserve">并加盖投标单位公章；</w:t>
            </w:r>
            <w:r>
              <w:rPr>
                <w:rFonts w:hint="eastAsia" w:ascii="宋体" w:hAnsi="宋体" w:eastAsia="宋体" w:cs="宋体"/>
                <w:szCs w:val="21"/>
              </w:rPr>
              <w:br/>
            </w:r>
            <w:r>
              <w:rPr>
                <w:rFonts w:hint="eastAsia" w:ascii="宋体" w:hAnsi="宋体" w:eastAsia="宋体" w:cs="宋体"/>
                <w:szCs w:val="21"/>
              </w:rPr>
              <w:t xml:space="preserve">（2）</w:t>
            </w:r>
            <w:r>
              <w:rPr>
                <w:rFonts w:hint="eastAsia" w:ascii="宋体" w:hAnsi="宋体" w:cs="宋体"/>
                <w:szCs w:val="21"/>
                <w:lang w:val="en-US" w:eastAsia="zh-CN"/>
              </w:rPr>
              <w:t xml:space="preserve">中标（</w:t>
            </w:r>
            <w:r>
              <w:rPr>
                <w:rFonts w:hint="eastAsia" w:ascii="宋体" w:hAnsi="宋体" w:eastAsia="宋体" w:cs="宋体"/>
                <w:szCs w:val="21"/>
              </w:rPr>
              <w:t xml:space="preserve">成交</w:t>
            </w:r>
            <w:r>
              <w:rPr>
                <w:rFonts w:hint="eastAsia" w:ascii="宋体" w:hAnsi="宋体" w:cs="宋体"/>
                <w:szCs w:val="21"/>
                <w:lang w:eastAsia="zh-CN"/>
              </w:rPr>
              <w:t xml:space="preserve">）</w:t>
            </w:r>
            <w:r>
              <w:rPr>
                <w:rFonts w:hint="eastAsia" w:ascii="宋体" w:hAnsi="宋体" w:eastAsia="宋体" w:cs="宋体"/>
                <w:szCs w:val="21"/>
              </w:rPr>
              <w:t xml:space="preserve">通知书及验收证明材料</w:t>
            </w:r>
            <w:r>
              <w:rPr>
                <w:rFonts w:hint="eastAsia" w:ascii="宋体" w:hAnsi="宋体" w:cs="宋体"/>
                <w:szCs w:val="21"/>
                <w:lang w:val="en-US" w:eastAsia="zh-CN"/>
              </w:rPr>
              <w:t xml:space="preserve">电子扫描件</w:t>
            </w:r>
            <w:r>
              <w:rPr>
                <w:rFonts w:hint="eastAsia" w:ascii="宋体" w:hAnsi="宋体" w:eastAsia="宋体" w:cs="宋体"/>
                <w:szCs w:val="21"/>
              </w:rPr>
              <w:t xml:space="preserve">；</w:t>
            </w:r>
            <w:r>
              <w:rPr>
                <w:rFonts w:hint="eastAsia" w:ascii="宋体" w:hAnsi="宋体" w:eastAsia="宋体" w:cs="宋体"/>
                <w:szCs w:val="21"/>
              </w:rPr>
              <w:br/>
            </w:r>
            <w:r>
              <w:rPr>
                <w:rFonts w:hint="eastAsia" w:ascii="宋体" w:hAnsi="宋体" w:cs="宋体"/>
                <w:szCs w:val="21"/>
                <w:lang w:val="en-US" w:eastAsia="zh-CN"/>
              </w:rPr>
              <w:t xml:space="preserve">以上材料</w:t>
            </w:r>
            <w:r>
              <w:rPr>
                <w:rFonts w:hint="eastAsia" w:ascii="宋体" w:hAnsi="宋体" w:eastAsia="宋体" w:cs="宋体"/>
                <w:szCs w:val="21"/>
              </w:rPr>
              <w:t xml:space="preserve">未提供或提供不全</w:t>
            </w:r>
            <w:r>
              <w:rPr>
                <w:rFonts w:hint="eastAsia" w:ascii="宋体" w:hAnsi="宋体" w:cs="宋体"/>
                <w:szCs w:val="21"/>
                <w:lang w:val="en-US" w:eastAsia="zh-CN"/>
              </w:rPr>
              <w:t xml:space="preserve">面、不清晰</w:t>
            </w:r>
            <w:r>
              <w:rPr>
                <w:rFonts w:hint="eastAsia" w:ascii="宋体" w:hAnsi="宋体" w:eastAsia="宋体" w:cs="宋体"/>
                <w:szCs w:val="21"/>
              </w:rPr>
              <w:t xml:space="preserve">的不得分。</w:t>
            </w:r>
            <w:r/>
          </w:p>
          <w:p>
            <w:pPr>
              <w:jc w:val="left"/>
              <w:rPr>
                <w:rFonts w:hint="default" w:ascii="宋体" w:hAnsi="宋体" w:eastAsia="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lang w:val="en-US" w:eastAsia="zh-CN"/>
              </w:rPr>
              <w:t xml:space="preserve">企业业绩和项目负责人业绩、技术负责人业绩不同时计分。</w:t>
            </w:r>
            <w:r/>
          </w:p>
        </w:tc>
      </w:tr>
      <w:tr>
        <w:trPr/>
        <w:tc>
          <w:tcPr>
            <w:tcW w:w="672" w:type="dxa"/>
            <w:vAlign w:val="center"/>
            <w:textDirection w:val="lrTb"/>
            <w:noWrap w:val="false"/>
          </w:tcPr>
          <w:p>
            <w:pPr>
              <w:jc w:val="center"/>
              <w:rPr>
                <w:rFonts w:hint="default" w:ascii="宋体" w:hAnsi="宋体" w:cs="宋体"/>
                <w:szCs w:val="21"/>
                <w:lang w:val="en-US" w:eastAsia="zh-CN"/>
              </w:rPr>
            </w:pPr>
            <w:r>
              <w:rPr>
                <w:rFonts w:hint="eastAsia" w:ascii="宋体" w:hAnsi="宋体" w:cs="宋体"/>
                <w:szCs w:val="21"/>
                <w:lang w:val="en-US" w:eastAsia="zh-CN"/>
              </w:rPr>
              <w:t xml:space="preserve">7</w:t>
            </w:r>
            <w:r/>
          </w:p>
        </w:tc>
        <w:tc>
          <w:tcPr>
            <w:tcW w:w="1552"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项目负责人、技术负责人类似经验</w:t>
            </w:r>
            <w:r/>
          </w:p>
        </w:tc>
        <w:tc>
          <w:tcPr>
            <w:tcW w:w="764"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cs="宋体"/>
                <w:szCs w:val="21"/>
                <w:lang w:val="en-US" w:eastAsia="zh-CN"/>
              </w:rPr>
              <w:t xml:space="preserve">2</w:t>
            </w:r>
            <w:r/>
          </w:p>
        </w:tc>
        <w:tc>
          <w:tcPr>
            <w:tcW w:w="6045" w:type="dxa"/>
            <w:vAlign w:val="center"/>
            <w:textDirection w:val="lrTb"/>
            <w:noWrap w:val="false"/>
          </w:tcPr>
          <w:p>
            <w:pPr>
              <w:numPr>
                <w:ilvl w:val="0"/>
                <w:numId w:val="0"/>
              </w:numPr>
              <w:jc w:val="left"/>
              <w:rPr>
                <w:rFonts w:hint="eastAsia" w:ascii="宋体" w:hAnsi="宋体" w:eastAsia="宋体" w:cs="宋体"/>
                <w:szCs w:val="21"/>
              </w:rPr>
            </w:pPr>
            <w:r>
              <w:rPr>
                <w:rFonts w:hint="eastAsia" w:ascii="宋体" w:hAnsi="宋体" w:eastAsia="宋体" w:cs="宋体"/>
                <w:sz w:val="21"/>
                <w:szCs w:val="21"/>
                <w:lang w:val="en-US" w:eastAsia="zh-CN" w:bidi="ar-SA"/>
              </w:rPr>
              <w:t xml:space="preserve">1、</w:t>
            </w:r>
            <w:r>
              <w:rPr>
                <w:rFonts w:hint="eastAsia" w:ascii="宋体" w:hAnsi="宋体" w:eastAsia="宋体" w:cs="宋体"/>
                <w:szCs w:val="21"/>
              </w:rPr>
              <w:t xml:space="preserve">供应商</w:t>
            </w:r>
            <w:r>
              <w:rPr>
                <w:rFonts w:hint="eastAsia" w:ascii="宋体" w:hAnsi="宋体" w:cs="宋体"/>
                <w:szCs w:val="21"/>
                <w:lang w:val="en-US" w:eastAsia="zh-CN"/>
              </w:rPr>
              <w:t xml:space="preserve">拟选派的项目负责人</w:t>
            </w:r>
            <w:r>
              <w:rPr>
                <w:rFonts w:hint="eastAsia" w:ascii="宋体" w:hAnsi="宋体" w:eastAsia="宋体" w:cs="宋体"/>
                <w:szCs w:val="21"/>
              </w:rPr>
              <w:t xml:space="preserve">自2023年1月1日以来（以合同签订时间为准）承担过水利工程信息化</w:t>
            </w:r>
            <w:r>
              <w:rPr>
                <w:rFonts w:hint="eastAsia" w:ascii="宋体" w:hAnsi="宋体" w:cs="宋体"/>
                <w:szCs w:val="21"/>
                <w:lang w:val="en-US" w:eastAsia="zh-CN"/>
              </w:rPr>
              <w:t xml:space="preserve">或</w:t>
            </w:r>
            <w:r>
              <w:rPr>
                <w:rFonts w:hint="eastAsia" w:ascii="宋体" w:hAnsi="宋体" w:eastAsia="宋体" w:cs="宋体"/>
                <w:szCs w:val="21"/>
              </w:rPr>
              <w:t xml:space="preserve">智能化监测</w:t>
            </w:r>
            <w:r>
              <w:rPr>
                <w:rFonts w:hint="eastAsia" w:ascii="宋体" w:hAnsi="宋体" w:cs="宋体"/>
                <w:szCs w:val="21"/>
                <w:lang w:val="en-US" w:eastAsia="zh-CN"/>
              </w:rPr>
              <w:t xml:space="preserve">或</w:t>
            </w:r>
            <w:r>
              <w:rPr>
                <w:rFonts w:hint="eastAsia" w:ascii="宋体" w:hAnsi="宋体" w:eastAsia="宋体" w:cs="宋体"/>
                <w:szCs w:val="21"/>
              </w:rPr>
              <w:t xml:space="preserve">自动化监控系统开发类项目（含开发、集成、实施等）业绩，每提供一个得</w:t>
            </w:r>
            <w:r>
              <w:rPr>
                <w:rFonts w:hint="eastAsia" w:ascii="宋体" w:hAnsi="宋体" w:cs="宋体"/>
                <w:szCs w:val="21"/>
                <w:lang w:val="en-US" w:eastAsia="zh-CN"/>
              </w:rPr>
              <w:t xml:space="preserve">0.5</w:t>
            </w:r>
            <w:r>
              <w:rPr>
                <w:rFonts w:hint="eastAsia" w:ascii="宋体" w:hAnsi="宋体" w:eastAsia="宋体" w:cs="宋体"/>
                <w:szCs w:val="21"/>
              </w:rPr>
              <w:t xml:space="preserve">分，</w:t>
            </w:r>
            <w:r>
              <w:rPr>
                <w:rFonts w:hint="eastAsia" w:ascii="宋体" w:hAnsi="宋体" w:cs="宋体"/>
                <w:szCs w:val="21"/>
                <w:lang w:val="en-US" w:eastAsia="zh-CN"/>
              </w:rPr>
              <w:t xml:space="preserve">本项</w:t>
            </w:r>
            <w:r>
              <w:rPr>
                <w:rFonts w:hint="eastAsia" w:ascii="宋体" w:hAnsi="宋体" w:eastAsia="宋体" w:cs="宋体"/>
                <w:szCs w:val="21"/>
              </w:rPr>
              <w:t xml:space="preserve">最高得</w:t>
            </w:r>
            <w:r>
              <w:rPr>
                <w:rFonts w:hint="eastAsia" w:ascii="宋体" w:hAnsi="宋体" w:cs="宋体"/>
                <w:szCs w:val="21"/>
                <w:lang w:val="en-US" w:eastAsia="zh-CN"/>
              </w:rPr>
              <w:t xml:space="preserve">1</w:t>
            </w:r>
            <w:r>
              <w:rPr>
                <w:rFonts w:hint="eastAsia" w:ascii="宋体" w:hAnsi="宋体" w:eastAsia="宋体" w:cs="宋体"/>
                <w:szCs w:val="21"/>
              </w:rPr>
              <w:t xml:space="preserve">分。</w:t>
            </w:r>
            <w:r/>
          </w:p>
          <w:p>
            <w:pPr>
              <w:numPr>
                <w:ilvl w:val="0"/>
                <w:numId w:val="0"/>
              </w:numPr>
              <w:jc w:val="left"/>
              <w:rPr>
                <w:rFonts w:hint="eastAsia" w:ascii="宋体" w:hAnsi="宋体" w:eastAsia="宋体" w:cs="宋体"/>
                <w:szCs w:val="21"/>
              </w:rPr>
            </w:pPr>
            <w:r>
              <w:rPr>
                <w:rFonts w:hint="eastAsia" w:ascii="宋体" w:hAnsi="宋体" w:eastAsia="宋体" w:cs="宋体"/>
                <w:sz w:val="21"/>
                <w:szCs w:val="21"/>
                <w:lang w:val="en-US" w:eastAsia="zh-CN" w:bidi="ar-SA"/>
              </w:rPr>
              <w:t xml:space="preserve">2、</w:t>
            </w:r>
            <w:r>
              <w:rPr>
                <w:rFonts w:hint="eastAsia" w:ascii="宋体" w:hAnsi="宋体" w:eastAsia="宋体" w:cs="宋体"/>
                <w:szCs w:val="21"/>
              </w:rPr>
              <w:t xml:space="preserve">供应商</w:t>
            </w:r>
            <w:r>
              <w:rPr>
                <w:rFonts w:hint="eastAsia" w:ascii="宋体" w:hAnsi="宋体" w:cs="宋体"/>
                <w:szCs w:val="21"/>
                <w:lang w:val="en-US" w:eastAsia="zh-CN"/>
              </w:rPr>
              <w:t xml:space="preserve">拟选派的技术负责人</w:t>
            </w:r>
            <w:r>
              <w:rPr>
                <w:rFonts w:hint="eastAsia" w:ascii="宋体" w:hAnsi="宋体" w:eastAsia="宋体" w:cs="宋体"/>
                <w:szCs w:val="21"/>
              </w:rPr>
              <w:t xml:space="preserve">自2023年1月1日以来（以合同签订时间为准）承担过水利工程信息化</w:t>
            </w:r>
            <w:r>
              <w:rPr>
                <w:rFonts w:hint="eastAsia" w:ascii="宋体" w:hAnsi="宋体" w:cs="宋体"/>
                <w:szCs w:val="21"/>
                <w:lang w:val="en-US" w:eastAsia="zh-CN"/>
              </w:rPr>
              <w:t xml:space="preserve">或</w:t>
            </w:r>
            <w:r>
              <w:rPr>
                <w:rFonts w:hint="eastAsia" w:ascii="宋体" w:hAnsi="宋体" w:eastAsia="宋体" w:cs="宋体"/>
                <w:szCs w:val="21"/>
              </w:rPr>
              <w:t xml:space="preserve">智能化监测</w:t>
            </w:r>
            <w:r>
              <w:rPr>
                <w:rFonts w:hint="eastAsia" w:ascii="宋体" w:hAnsi="宋体" w:cs="宋体"/>
                <w:szCs w:val="21"/>
                <w:lang w:val="en-US" w:eastAsia="zh-CN"/>
              </w:rPr>
              <w:t xml:space="preserve">或</w:t>
            </w:r>
            <w:r>
              <w:rPr>
                <w:rFonts w:hint="eastAsia" w:ascii="宋体" w:hAnsi="宋体" w:eastAsia="宋体" w:cs="宋体"/>
                <w:szCs w:val="21"/>
              </w:rPr>
              <w:t xml:space="preserve">自动化监控系统开发类项目（含开发、集成、实施等）业绩，每提供一个得</w:t>
            </w:r>
            <w:r>
              <w:rPr>
                <w:rFonts w:hint="eastAsia" w:ascii="宋体" w:hAnsi="宋体" w:cs="宋体"/>
                <w:szCs w:val="21"/>
                <w:lang w:val="en-US" w:eastAsia="zh-CN"/>
              </w:rPr>
              <w:t xml:space="preserve">0.5</w:t>
            </w:r>
            <w:r>
              <w:rPr>
                <w:rFonts w:hint="eastAsia" w:ascii="宋体" w:hAnsi="宋体" w:eastAsia="宋体" w:cs="宋体"/>
                <w:szCs w:val="21"/>
              </w:rPr>
              <w:t xml:space="preserve">分，</w:t>
            </w:r>
            <w:r>
              <w:rPr>
                <w:rFonts w:hint="eastAsia" w:ascii="宋体" w:hAnsi="宋体" w:cs="宋体"/>
                <w:szCs w:val="21"/>
                <w:lang w:val="en-US" w:eastAsia="zh-CN"/>
              </w:rPr>
              <w:t xml:space="preserve">本项</w:t>
            </w:r>
            <w:r>
              <w:rPr>
                <w:rFonts w:hint="eastAsia" w:ascii="宋体" w:hAnsi="宋体" w:eastAsia="宋体" w:cs="宋体"/>
                <w:szCs w:val="21"/>
              </w:rPr>
              <w:t xml:space="preserve">最高得</w:t>
            </w:r>
            <w:r>
              <w:rPr>
                <w:rFonts w:hint="eastAsia" w:ascii="宋体" w:hAnsi="宋体" w:cs="宋体"/>
                <w:szCs w:val="21"/>
                <w:lang w:val="en-US" w:eastAsia="zh-CN"/>
              </w:rPr>
              <w:t xml:space="preserve">1</w:t>
            </w:r>
            <w:r>
              <w:rPr>
                <w:rFonts w:hint="eastAsia" w:ascii="宋体" w:hAnsi="宋体" w:eastAsia="宋体" w:cs="宋体"/>
                <w:szCs w:val="21"/>
              </w:rPr>
              <w:t xml:space="preserve">分。</w:t>
            </w:r>
            <w:r/>
          </w:p>
          <w:p>
            <w:pPr>
              <w:numPr>
                <w:ilvl w:val="0"/>
                <w:numId w:val="0"/>
              </w:numPr>
              <w:jc w:val="left"/>
              <w:rPr>
                <w:rFonts w:hint="eastAsia" w:ascii="宋体" w:hAnsi="宋体" w:eastAsia="宋体" w:cs="宋体"/>
                <w:szCs w:val="21"/>
              </w:rPr>
            </w:pPr>
            <w:r>
              <w:rPr>
                <w:rFonts w:hint="eastAsia" w:ascii="宋体" w:hAnsi="宋体" w:eastAsia="宋体" w:cs="宋体"/>
                <w:szCs w:val="21"/>
              </w:rPr>
              <w:t xml:space="preserve">注：须提供以下证明材料之一：</w:t>
            </w:r>
            <w:r/>
          </w:p>
          <w:p>
            <w:pPr>
              <w:numPr>
                <w:ilvl w:val="0"/>
                <w:numId w:val="0"/>
              </w:numPr>
              <w:jc w:val="left"/>
              <w:rPr>
                <w:rFonts w:hint="eastAsia" w:ascii="宋体" w:hAnsi="宋体" w:eastAsia="宋体" w:cs="宋体"/>
                <w:szCs w:val="21"/>
              </w:rPr>
            </w:pPr>
            <w:r>
              <w:rPr>
                <w:rFonts w:hint="eastAsia" w:ascii="宋体" w:hAnsi="宋体" w:eastAsia="宋体" w:cs="宋体"/>
                <w:szCs w:val="21"/>
              </w:rPr>
              <w:t xml:space="preserve">（1）具有类似业绩合同关键页（须含合同首页、标的内容页、金额页、签字盖章页、项目负责人或项目技术负</w:t>
            </w:r>
            <w:r>
              <w:rPr>
                <w:rFonts w:hint="eastAsia" w:ascii="宋体" w:hAnsi="宋体" w:cs="宋体"/>
                <w:szCs w:val="21"/>
                <w:lang w:eastAsia="zh-CN"/>
              </w:rPr>
              <w:t xml:space="preserve">责人</w:t>
            </w:r>
            <w:r>
              <w:rPr>
                <w:rFonts w:hint="eastAsia" w:ascii="宋体" w:hAnsi="宋体" w:eastAsia="宋体" w:cs="宋体"/>
                <w:szCs w:val="21"/>
              </w:rPr>
              <w:t xml:space="preserve">姓名）的电子扫描件并加盖投标单位公章：</w:t>
            </w:r>
            <w:r/>
          </w:p>
          <w:p>
            <w:pPr>
              <w:numPr>
                <w:ilvl w:val="0"/>
                <w:numId w:val="0"/>
              </w:numPr>
              <w:jc w:val="left"/>
              <w:rPr>
                <w:rFonts w:hint="eastAsia" w:ascii="宋体" w:hAnsi="宋体" w:cs="宋体"/>
                <w:szCs w:val="21"/>
                <w:lang w:val="en-US" w:eastAsia="zh-CN"/>
              </w:rPr>
            </w:pPr>
            <w:r>
              <w:rPr>
                <w:rFonts w:hint="eastAsia" w:ascii="宋体" w:hAnsi="宋体" w:eastAsia="宋体" w:cs="宋体"/>
                <w:szCs w:val="21"/>
              </w:rPr>
              <w:t xml:space="preserve">（2）类似业绩的验收证明材料内容中</w:t>
            </w:r>
            <w:r>
              <w:rPr>
                <w:rFonts w:hint="eastAsia" w:ascii="宋体" w:hAnsi="宋体" w:cs="宋体"/>
                <w:szCs w:val="21"/>
                <w:lang w:eastAsia="zh-CN"/>
              </w:rPr>
              <w:t xml:space="preserve">内容</w:t>
            </w:r>
            <w:r>
              <w:rPr>
                <w:rFonts w:hint="eastAsia" w:ascii="宋体" w:hAnsi="宋体" w:eastAsia="宋体" w:cs="宋体"/>
                <w:szCs w:val="21"/>
              </w:rPr>
              <w:t xml:space="preserve">明确、完整、清</w:t>
            </w:r>
            <w:r>
              <w:rPr>
                <w:rFonts w:hint="eastAsia" w:ascii="宋体" w:hAnsi="宋体" w:cs="宋体"/>
                <w:szCs w:val="21"/>
                <w:lang w:eastAsia="zh-CN"/>
              </w:rPr>
              <w:t xml:space="preserve">晰地</w:t>
            </w:r>
            <w:r>
              <w:rPr>
                <w:rFonts w:hint="eastAsia" w:ascii="宋体" w:hAnsi="宋体" w:eastAsia="宋体" w:cs="宋体"/>
                <w:szCs w:val="21"/>
              </w:rPr>
              <w:t xml:space="preserve">体现</w:t>
            </w:r>
            <w:r>
              <w:rPr>
                <w:rFonts w:hint="eastAsia" w:ascii="宋体" w:hAnsi="宋体" w:cs="宋体"/>
                <w:szCs w:val="21"/>
                <w:lang w:val="en-US" w:eastAsia="zh-CN"/>
              </w:rPr>
              <w:t xml:space="preserve">项目负责人或项目技术人员姓名。</w:t>
            </w:r>
            <w:r/>
          </w:p>
          <w:p>
            <w:pPr>
              <w:numPr>
                <w:ilvl w:val="0"/>
                <w:numId w:val="0"/>
              </w:numPr>
              <w:jc w:val="left"/>
              <w:rPr>
                <w:rFonts w:hint="eastAsia" w:ascii="宋体" w:hAnsi="宋体" w:cs="宋体"/>
                <w:szCs w:val="21"/>
                <w:lang w:val="en-US" w:eastAsia="zh-CN"/>
              </w:rPr>
            </w:pPr>
            <w:r>
              <w:rPr>
                <w:rFonts w:hint="eastAsia" w:ascii="宋体" w:hAnsi="宋体" w:cs="宋体"/>
                <w:szCs w:val="21"/>
                <w:lang w:val="en-US" w:eastAsia="zh-CN"/>
              </w:rPr>
              <w:t xml:space="preserve">以上材料未提供或提供不全面、不清晰的不得分。</w:t>
            </w:r>
            <w:r/>
          </w:p>
          <w:p>
            <w:pPr>
              <w:numPr>
                <w:ilvl w:val="0"/>
                <w:numId w:val="0"/>
              </w:numPr>
              <w:jc w:val="left"/>
              <w:rPr>
                <w:rFonts w:hint="eastAsia" w:ascii="宋体" w:hAnsi="宋体" w:cs="宋体"/>
                <w:szCs w:val="21"/>
                <w:lang w:val="en-US"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lang w:val="en-US" w:eastAsia="zh-CN"/>
              </w:rPr>
              <w:t xml:space="preserve">企业业绩和项目负责人业绩、技术负责人业绩不同时计分。</w:t>
            </w:r>
            <w:r/>
          </w:p>
        </w:tc>
      </w:tr>
      <w:tr>
        <w:trPr/>
        <w:tc>
          <w:tcPr>
            <w:tcW w:w="672"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tcW w:w="15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企业资质与能力</w:t>
            </w:r>
            <w:r/>
          </w:p>
        </w:tc>
        <w:tc>
          <w:tcPr>
            <w:tcW w:w="76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604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1.体系认证：供应商具有有效的质量管理体系认证证书、环境管理体系认证证书、职业健康安全管理体系认证证书，每有一个得1分，最高得3分。</w:t>
            </w:r>
            <w:r>
              <w:rPr>
                <w:rFonts w:hint="eastAsia" w:ascii="宋体" w:hAnsi="宋体" w:eastAsia="宋体" w:cs="宋体"/>
                <w:szCs w:val="21"/>
              </w:rPr>
              <w:br/>
            </w:r>
            <w:r>
              <w:rPr>
                <w:rFonts w:hint="eastAsia" w:ascii="宋体" w:hAnsi="宋体" w:eastAsia="宋体" w:cs="宋体"/>
                <w:szCs w:val="21"/>
              </w:rPr>
              <w:t xml:space="preserve">2.软件著作权：具有智能泵站、数字孪生、水利信息化相关软件著作权证书的，每有一个得1分，最高得3分。</w:t>
            </w:r>
            <w:r>
              <w:rPr>
                <w:rFonts w:hint="eastAsia" w:ascii="宋体" w:hAnsi="宋体" w:eastAsia="宋体" w:cs="宋体"/>
                <w:szCs w:val="21"/>
              </w:rPr>
              <w:br/>
            </w:r>
            <w:r>
              <w:rPr>
                <w:rFonts w:hint="eastAsia" w:ascii="宋体" w:hAnsi="宋体" w:eastAsia="宋体" w:cs="宋体"/>
                <w:szCs w:val="21"/>
              </w:rPr>
              <w:t xml:space="preserve">注：需提供有效期内的体系认证证书扫描件，并提供在《国家市场监督管理总局全国认证认可信息公共服务平台http://cx.cnca.cn》查询记录截图并加盖公章，未提供不得分。</w:t>
            </w:r>
            <w:r/>
          </w:p>
        </w:tc>
      </w:tr>
      <w:tr>
        <w:trPr/>
        <w:tc>
          <w:tcPr>
            <w:tcW w:w="672"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9</w:t>
            </w:r>
            <w:r/>
          </w:p>
        </w:tc>
        <w:tc>
          <w:tcPr>
            <w:tcW w:w="15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项目团队</w:t>
            </w:r>
            <w:r/>
          </w:p>
        </w:tc>
        <w:tc>
          <w:tcPr>
            <w:tcW w:w="764"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c>
          <w:tcPr>
            <w:tcW w:w="6045"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根据供应商拟派项目团队情况进行综合评审：</w:t>
            </w:r>
            <w:r>
              <w:rPr>
                <w:rFonts w:hint="eastAsia" w:ascii="宋体" w:hAnsi="宋体" w:eastAsia="宋体" w:cs="宋体"/>
                <w:szCs w:val="21"/>
              </w:rPr>
              <w:br/>
            </w:r>
            <w:r>
              <w:rPr>
                <w:rFonts w:hint="eastAsia" w:ascii="宋体" w:hAnsi="宋体" w:eastAsia="宋体" w:cs="宋体"/>
                <w:szCs w:val="21"/>
              </w:rPr>
              <w:t xml:space="preserve">1.项目负</w:t>
            </w:r>
            <w:r>
              <w:rPr>
                <w:rFonts w:hint="eastAsia" w:ascii="宋体" w:hAnsi="宋体" w:eastAsia="宋体" w:cs="宋体"/>
                <w:color w:val="auto"/>
                <w:szCs w:val="21"/>
              </w:rPr>
              <w:t xml:space="preserve">责人：具有工程类高级工程师及以上职称得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分，具有工程类中级职称得</w:t>
            </w:r>
            <w:r>
              <w:rPr>
                <w:rFonts w:hint="eastAsia" w:ascii="宋体" w:hAnsi="宋体" w:eastAsia="宋体" w:cs="宋体"/>
                <w:color w:val="auto"/>
                <w:szCs w:val="21"/>
                <w:lang w:val="en-US" w:eastAsia="zh-CN"/>
              </w:rPr>
              <w:t xml:space="preserve">0.5</w:t>
            </w:r>
            <w:r>
              <w:rPr>
                <w:rFonts w:hint="eastAsia" w:ascii="宋体" w:hAnsi="宋体" w:eastAsia="宋体" w:cs="宋体"/>
                <w:color w:val="auto"/>
                <w:szCs w:val="21"/>
              </w:rPr>
              <w:t xml:space="preserve">分</w:t>
            </w: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rPr>
              <w:t xml:space="preserve">本项最高得</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分。</w:t>
            </w:r>
            <w:r>
              <w:rPr>
                <w:rFonts w:hint="eastAsia" w:ascii="宋体" w:hAnsi="宋体" w:eastAsia="宋体" w:cs="宋体"/>
                <w:color w:val="auto"/>
                <w:szCs w:val="21"/>
              </w:rPr>
              <w:br/>
            </w:r>
            <w:r>
              <w:rPr>
                <w:rFonts w:hint="eastAsia" w:ascii="宋体" w:hAnsi="宋体" w:eastAsia="宋体" w:cs="宋体"/>
                <w:color w:val="auto"/>
                <w:szCs w:val="21"/>
              </w:rPr>
              <w:t xml:space="preserve">2.技术负责人：具有电子信息类或自动化类高级工程师及以上职称</w:t>
            </w:r>
            <w:r>
              <w:rPr>
                <w:rFonts w:hint="eastAsia" w:ascii="宋体" w:hAnsi="宋体" w:cs="宋体"/>
                <w:color w:val="auto"/>
                <w:szCs w:val="21"/>
                <w:lang w:val="en-US" w:eastAsia="zh-CN"/>
              </w:rPr>
              <w:t xml:space="preserve">或</w:t>
            </w:r>
            <w:r>
              <w:rPr>
                <w:rFonts w:hint="eastAsia" w:ascii="宋体" w:hAnsi="宋体" w:eastAsia="宋体" w:cs="宋体"/>
                <w:color w:val="auto"/>
                <w:szCs w:val="21"/>
              </w:rPr>
              <w:t xml:space="preserve">具有系统架构设计师证书</w:t>
            </w:r>
            <w:r>
              <w:rPr>
                <w:rFonts w:hint="eastAsia" w:ascii="宋体" w:hAnsi="宋体" w:cs="宋体"/>
                <w:color w:val="auto"/>
                <w:szCs w:val="21"/>
                <w:lang w:val="en-US" w:eastAsia="zh-CN"/>
              </w:rPr>
              <w:t xml:space="preserve">的</w:t>
            </w:r>
            <w:r>
              <w:rPr>
                <w:rFonts w:hint="eastAsia" w:ascii="宋体" w:hAnsi="宋体" w:eastAsia="宋体" w:cs="宋体"/>
                <w:color w:val="auto"/>
                <w:szCs w:val="21"/>
              </w:rPr>
              <w:t xml:space="preserve">得</w:t>
            </w: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分</w:t>
            </w:r>
            <w:r>
              <w:rPr>
                <w:rFonts w:hint="eastAsia" w:ascii="宋体" w:hAnsi="宋体" w:cs="宋体"/>
                <w:color w:val="auto"/>
                <w:szCs w:val="21"/>
                <w:lang w:val="en-US" w:eastAsia="zh-CN"/>
              </w:rPr>
              <w:t xml:space="preserve">；</w:t>
            </w:r>
            <w:r>
              <w:rPr>
                <w:rFonts w:hint="eastAsia" w:ascii="宋体" w:hAnsi="宋体" w:eastAsia="宋体" w:cs="宋体"/>
                <w:color w:val="auto"/>
                <w:szCs w:val="21"/>
              </w:rPr>
              <w:t xml:space="preserve">具有电子信息类或自动化类</w:t>
            </w:r>
            <w:r>
              <w:rPr>
                <w:rFonts w:hint="eastAsia" w:ascii="宋体" w:hAnsi="宋体" w:eastAsia="宋体" w:cs="宋体"/>
                <w:color w:val="auto"/>
                <w:szCs w:val="21"/>
                <w:lang w:val="en-US" w:eastAsia="zh-CN"/>
              </w:rPr>
              <w:t xml:space="preserve">中</w:t>
            </w:r>
            <w:r>
              <w:rPr>
                <w:rFonts w:hint="eastAsia" w:ascii="宋体" w:hAnsi="宋体" w:eastAsia="宋体" w:cs="宋体"/>
                <w:color w:val="auto"/>
                <w:szCs w:val="21"/>
              </w:rPr>
              <w:t xml:space="preserve">级工程师及以上职称</w:t>
            </w:r>
            <w:r>
              <w:rPr>
                <w:rFonts w:hint="eastAsia" w:ascii="宋体" w:hAnsi="宋体" w:cs="宋体"/>
                <w:color w:val="auto"/>
                <w:szCs w:val="21"/>
                <w:lang w:val="en-US" w:eastAsia="zh-CN"/>
              </w:rPr>
              <w:t xml:space="preserve">或</w:t>
            </w:r>
            <w:r>
              <w:rPr>
                <w:rFonts w:hint="eastAsia" w:ascii="宋体" w:hAnsi="宋体" w:eastAsia="宋体" w:cs="宋体"/>
                <w:color w:val="auto"/>
                <w:szCs w:val="21"/>
              </w:rPr>
              <w:t xml:space="preserve">具有软件设计师证书得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分；本项最高得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w:t>
            </w:r>
            <w:r>
              <w:rPr>
                <w:rFonts w:hint="eastAsia" w:ascii="宋体" w:hAnsi="宋体" w:eastAsia="宋体" w:cs="宋体"/>
                <w:color w:val="auto"/>
                <w:szCs w:val="21"/>
              </w:rPr>
              <w:br/>
            </w:r>
            <w:r>
              <w:rPr>
                <w:rFonts w:hint="eastAsia" w:ascii="宋体" w:hAnsi="宋体" w:eastAsia="宋体" w:cs="宋体"/>
                <w:color w:val="auto"/>
                <w:szCs w:val="21"/>
              </w:rPr>
              <w:t xml:space="preserve">3.团队配置：项目团队成员（除项目负责人和技术负责人外）具有软件开发、数据治理、三维建模、电气自动化、网络安全专业，每有一个专业得</w:t>
            </w:r>
            <w:r>
              <w:rPr>
                <w:rFonts w:hint="eastAsia" w:ascii="宋体" w:hAnsi="宋体" w:eastAsia="宋体" w:cs="宋体"/>
                <w:color w:val="auto"/>
                <w:szCs w:val="21"/>
                <w:lang w:val="en-US" w:eastAsia="zh-CN"/>
              </w:rPr>
              <w:t xml:space="preserve">0.2</w:t>
            </w:r>
            <w:r>
              <w:rPr>
                <w:rFonts w:hint="eastAsia" w:ascii="宋体" w:hAnsi="宋体" w:eastAsia="宋体" w:cs="宋体"/>
                <w:color w:val="auto"/>
                <w:szCs w:val="21"/>
              </w:rPr>
              <w:t xml:space="preserve">分；具有电子信息类或自动化类</w:t>
            </w:r>
            <w:r>
              <w:rPr>
                <w:rFonts w:hint="eastAsia" w:ascii="宋体" w:hAnsi="宋体" w:cs="宋体"/>
                <w:color w:val="auto"/>
                <w:szCs w:val="21"/>
                <w:lang w:val="en-US" w:eastAsia="zh-CN"/>
              </w:rPr>
              <w:t xml:space="preserve">或工程类高</w:t>
            </w:r>
            <w:r>
              <w:rPr>
                <w:rFonts w:hint="eastAsia" w:ascii="宋体" w:hAnsi="宋体" w:eastAsia="宋体" w:cs="宋体"/>
                <w:color w:val="auto"/>
                <w:szCs w:val="21"/>
              </w:rPr>
              <w:t xml:space="preserve">级工程师及以上职称的，每有一人得</w:t>
            </w:r>
            <w:r>
              <w:rPr>
                <w:rFonts w:hint="eastAsia" w:ascii="宋体" w:hAnsi="宋体" w:cs="宋体"/>
                <w:color w:val="auto"/>
                <w:szCs w:val="21"/>
                <w:lang w:val="en-US" w:eastAsia="zh-CN"/>
              </w:rPr>
              <w:t xml:space="preserve">1</w:t>
            </w:r>
            <w:r>
              <w:rPr>
                <w:rFonts w:hint="eastAsia" w:ascii="宋体" w:hAnsi="宋体" w:eastAsia="宋体" w:cs="宋体"/>
                <w:color w:val="auto"/>
                <w:szCs w:val="21"/>
              </w:rPr>
              <w:t xml:space="preserve">分；具有电子信息类或自动化类</w:t>
            </w:r>
            <w:r>
              <w:rPr>
                <w:rFonts w:hint="eastAsia" w:ascii="宋体" w:hAnsi="宋体" w:cs="宋体"/>
                <w:color w:val="auto"/>
                <w:szCs w:val="21"/>
                <w:lang w:val="en-US" w:eastAsia="zh-CN"/>
              </w:rPr>
              <w:t xml:space="preserve">或工程类</w:t>
            </w:r>
            <w:r>
              <w:rPr>
                <w:rFonts w:hint="eastAsia" w:ascii="宋体" w:hAnsi="宋体" w:eastAsia="宋体" w:cs="宋体"/>
                <w:color w:val="auto"/>
                <w:szCs w:val="21"/>
              </w:rPr>
              <w:t xml:space="preserve">中级工程师职称的，每有一人得</w:t>
            </w:r>
            <w:r>
              <w:rPr>
                <w:rFonts w:hint="eastAsia" w:ascii="宋体" w:hAnsi="宋体" w:cs="宋体"/>
                <w:color w:val="auto"/>
                <w:szCs w:val="21"/>
                <w:lang w:val="en-US" w:eastAsia="zh-CN"/>
              </w:rPr>
              <w:t xml:space="preserve">0.5</w:t>
            </w:r>
            <w:r>
              <w:rPr>
                <w:rFonts w:hint="eastAsia" w:ascii="宋体" w:hAnsi="宋体" w:eastAsia="宋体" w:cs="宋体"/>
                <w:color w:val="auto"/>
                <w:szCs w:val="21"/>
              </w:rPr>
              <w:t xml:space="preserve">分。本项最高得</w:t>
            </w:r>
            <w:r>
              <w:rPr>
                <w:rFonts w:hint="eastAsia" w:ascii="宋体" w:hAnsi="宋体" w:cs="宋体"/>
                <w:color w:val="auto"/>
                <w:szCs w:val="21"/>
                <w:lang w:val="en-US" w:eastAsia="zh-CN"/>
              </w:rPr>
              <w:t xml:space="preserve">3</w:t>
            </w:r>
            <w:r>
              <w:rPr>
                <w:rFonts w:hint="eastAsia" w:ascii="宋体" w:hAnsi="宋体" w:eastAsia="宋体" w:cs="宋体"/>
                <w:color w:val="auto"/>
                <w:szCs w:val="21"/>
              </w:rPr>
              <w:t xml:space="preserve">分。</w:t>
            </w:r>
            <w:r>
              <w:rPr>
                <w:rFonts w:hint="eastAsia" w:ascii="宋体" w:hAnsi="宋体" w:eastAsia="宋体" w:cs="宋体"/>
                <w:color w:val="auto"/>
                <w:szCs w:val="21"/>
              </w:rPr>
              <w:br/>
            </w:r>
            <w:r>
              <w:rPr>
                <w:rFonts w:hint="eastAsia" w:ascii="宋体" w:hAnsi="宋体" w:eastAsia="宋体" w:cs="宋体"/>
                <w:color w:val="auto"/>
                <w:szCs w:val="21"/>
              </w:rPr>
              <w:t xml:space="preserve">注：1、</w:t>
            </w:r>
            <w:r>
              <w:rPr>
                <w:rFonts w:hint="eastAsia" w:ascii="宋体" w:hAnsi="宋体" w:eastAsia="宋体" w:cs="宋体"/>
                <w:color w:val="auto"/>
                <w:szCs w:val="21"/>
                <w:lang w:val="en-US" w:eastAsia="zh-CN"/>
              </w:rPr>
              <w:t xml:space="preserve">上述人员提供以下任一材料证明相关专业背景：①毕业证书（含相近专业）；②相关专业职业资格证书或技能等级证书；③能够证明从事相关专业工作满2年以上的业绩合同或单位证明</w:t>
            </w:r>
            <w:r>
              <w:rPr>
                <w:rFonts w:hint="eastAsia" w:ascii="宋体" w:hAnsi="宋体" w:eastAsia="宋体" w:cs="宋体"/>
                <w:color w:val="auto"/>
                <w:szCs w:val="21"/>
              </w:rPr>
              <w:t xml:space="preserve">；2、以上人员均为投标单位正式在职员工，需</w:t>
            </w:r>
            <w:r>
              <w:rPr>
                <w:rFonts w:hint="eastAsia" w:ascii="宋体" w:hAnsi="宋体" w:eastAsia="宋体" w:cs="宋体"/>
                <w:color w:val="auto"/>
                <w:szCs w:val="21"/>
                <w:lang w:val="en-US" w:eastAsia="zh-CN"/>
              </w:rPr>
              <w:t xml:space="preserve">同时</w:t>
            </w:r>
            <w:r>
              <w:rPr>
                <w:rFonts w:hint="eastAsia" w:ascii="宋体" w:hAnsi="宋体" w:eastAsia="宋体" w:cs="宋体"/>
                <w:color w:val="auto"/>
                <w:szCs w:val="21"/>
              </w:rPr>
              <w:t xml:space="preserve">提供2026年2月以来任意</w:t>
            </w:r>
            <w:r>
              <w:rPr>
                <w:rFonts w:hint="eastAsia" w:ascii="宋体" w:hAnsi="宋体" w:eastAsia="宋体" w:cs="宋体"/>
                <w:color w:val="auto"/>
                <w:szCs w:val="21"/>
                <w:lang w:val="en-US" w:eastAsia="zh-CN"/>
              </w:rPr>
              <w:t xml:space="preserve">一</w:t>
            </w:r>
            <w:r>
              <w:rPr>
                <w:rFonts w:hint="eastAsia" w:ascii="宋体" w:hAnsi="宋体" w:eastAsia="宋体" w:cs="宋体"/>
                <w:color w:val="auto"/>
                <w:szCs w:val="21"/>
              </w:rPr>
              <w:t xml:space="preserve">个月的社保缴纳证明材料。</w:t>
            </w:r>
            <w:r/>
          </w:p>
          <w:p>
            <w:pPr>
              <w:rPr>
                <w:rFonts w:hint="eastAsia" w:ascii="宋体" w:hAnsi="宋体" w:eastAsia="宋体" w:cs="宋体"/>
                <w:szCs w:val="21"/>
              </w:rPr>
            </w:pPr>
            <w:r>
              <w:rPr>
                <w:rFonts w:hint="eastAsia" w:ascii="宋体" w:hAnsi="宋体" w:eastAsia="宋体" w:cs="宋体"/>
                <w:szCs w:val="21"/>
              </w:rPr>
              <w:t xml:space="preserve">3、同一个人</w:t>
            </w:r>
            <w:r>
              <w:rPr>
                <w:rFonts w:hint="eastAsia" w:ascii="宋体" w:hAnsi="宋体" w:cs="宋体"/>
                <w:szCs w:val="21"/>
                <w:lang w:val="en-US" w:eastAsia="zh-CN"/>
              </w:rPr>
              <w:t xml:space="preserve">员</w:t>
            </w:r>
            <w:r>
              <w:rPr>
                <w:rFonts w:hint="eastAsia" w:ascii="宋体" w:hAnsi="宋体" w:eastAsia="宋体" w:cs="宋体"/>
                <w:szCs w:val="21"/>
                <w:lang w:val="en-US" w:eastAsia="zh-CN"/>
              </w:rPr>
              <w:t xml:space="preserve">按最高得分</w:t>
            </w:r>
            <w:r>
              <w:rPr>
                <w:rFonts w:hint="eastAsia" w:ascii="宋体" w:hAnsi="宋体" w:eastAsia="宋体" w:cs="宋体"/>
                <w:szCs w:val="21"/>
              </w:rPr>
              <w:t xml:space="preserve">计一次，同一个专业证书只计一次分，不重复计分。</w:t>
            </w:r>
            <w:r/>
          </w:p>
        </w:tc>
      </w:tr>
    </w:tbl>
    <w:p>
      <w:pPr>
        <w:spacing w:line="500" w:lineRule="exact"/>
        <w:rPr>
          <w:rFonts w:hint="eastAsia" w:ascii="宋体" w:hAnsi="宋体" w:eastAsia="宋体" w:cs="宋体"/>
          <w:b/>
          <w:bCs/>
          <w:sz w:val="28"/>
          <w:szCs w:val="28"/>
        </w:rPr>
      </w:pPr>
      <w:r>
        <w:rPr>
          <w:rFonts w:hint="eastAsia" w:ascii="宋体" w:hAnsi="宋体" w:eastAsia="宋体" w:cs="宋体"/>
          <w:b/>
          <w:bCs/>
          <w:sz w:val="28"/>
          <w:szCs w:val="28"/>
        </w:rPr>
      </w:r>
      <w:bookmarkEnd w:id="99"/>
      <w:r/>
      <w:bookmarkEnd w:id="100"/>
      <w:r/>
      <w:r/>
    </w:p>
    <w:p>
      <w:pPr>
        <w:ind w:firstLine="883"/>
        <w:spacing w:before="120" w:after="120" w:line="360" w:lineRule="auto"/>
        <w:rPr>
          <w:rFonts w:hint="eastAsia" w:ascii="宋体" w:hAnsi="宋体" w:eastAsia="宋体" w:cs="宋体"/>
          <w:b/>
          <w:bCs/>
          <w:sz w:val="44"/>
          <w:szCs w:val="44"/>
        </w:rPr>
      </w:pPr>
      <w:r/>
      <w:bookmarkStart w:id="101" w:name="_Toc2833"/>
      <w:r/>
      <w:bookmarkStart w:id="102" w:name="_Toc1657"/>
      <w:r>
        <w:rPr>
          <w:rFonts w:hint="eastAsia" w:ascii="宋体" w:hAnsi="宋体" w:eastAsia="宋体" w:cs="宋体"/>
          <w:b/>
          <w:bCs/>
          <w:sz w:val="44"/>
          <w:szCs w:val="44"/>
        </w:rPr>
        <w:br w:type="page" w:clear="all"/>
        <w:t xml:space="preserve">        </w:t>
      </w:r>
      <w:r>
        <w:rPr>
          <w:rFonts w:hint="eastAsia" w:ascii="宋体" w:hAnsi="宋体" w:eastAsia="宋体" w:cs="宋体"/>
          <w:b/>
          <w:bCs/>
          <w:sz w:val="44"/>
        </w:rPr>
        <w:t xml:space="preserve">第四章  采购需求</w:t>
      </w:r>
      <w:r>
        <w:rPr>
          <w:rFonts w:hint="eastAsia" w:ascii="宋体" w:hAnsi="宋体" w:eastAsia="宋体" w:cs="宋体"/>
          <w:b/>
          <w:bCs/>
          <w:sz w:val="44"/>
          <w:szCs w:val="44"/>
        </w:rPr>
      </w:r>
      <w:r/>
    </w:p>
    <w:p>
      <w:pPr>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项目属性：货物类项目</w:t>
      </w:r>
      <w:r/>
    </w:p>
    <w:p>
      <w:pPr>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本项目采购标的对应的中小企业划分标准所属行业：工业（制造业）</w:t>
      </w:r>
      <w:r/>
    </w:p>
    <w:p>
      <w:pPr>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本项目不接受进口产品。</w:t>
      </w:r>
      <w:r/>
    </w:p>
    <w:p>
      <w:pPr>
        <w:ind w:firstLine="482"/>
        <w:spacing w:before="120" w:after="120"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本项目核心产品：壁挂式LED综合监视大屏</w:t>
      </w:r>
      <w:r/>
    </w:p>
    <w:p>
      <w:pPr>
        <w:ind w:firstLine="562"/>
        <w:spacing w:line="360" w:lineRule="auto"/>
        <w:rPr>
          <w:rFonts w:hint="eastAsia" w:ascii="宋体" w:hAnsi="宋体" w:eastAsia="宋体" w:cs="宋体"/>
          <w:b/>
          <w:sz w:val="28"/>
          <w:szCs w:val="28"/>
        </w:rPr>
      </w:pPr>
      <w:r/>
      <w:bookmarkStart w:id="103" w:name="EB7816f6fdbc96408ea7b735c177a21493"/>
      <w:r>
        <w:rPr>
          <w:rFonts w:hint="eastAsia" w:ascii="宋体" w:hAnsi="宋体" w:eastAsia="宋体" w:cs="宋体"/>
          <w:b/>
          <w:sz w:val="28"/>
          <w:szCs w:val="28"/>
        </w:rPr>
        <w:t xml:space="preserve">一、项目概况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（一）项目名称：皂河站监测装置及控制系统完善项目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（二）采购方式：竞争性磋商</w:t>
      </w:r>
      <w:r/>
    </w:p>
    <w:p>
      <w:pPr>
        <w:ind w:firstLine="480"/>
        <w:spacing w:line="360" w:lineRule="auto"/>
        <w:rPr>
          <w:rFonts w:hint="eastAsia" w:ascii="宋体" w:hAnsi="宋体" w:eastAsia="宋体" w:cs="宋体"/>
          <w:color w:val="auto"/>
          <w:sz w:val="24"/>
          <w:szCs w:val="24"/>
        </w:rPr>
      </w:pPr>
      <w:r/>
      <w:bookmarkStart w:id="104" w:name="_Toc2344"/>
      <w:r/>
      <w:bookmarkStart w:id="105" w:name="_Toc21691"/>
      <w:r>
        <w:rPr>
          <w:rFonts w:hint="eastAsia" w:ascii="宋体" w:hAnsi="宋体" w:eastAsia="宋体" w:cs="宋体"/>
          <w:sz w:val="24"/>
          <w:szCs w:val="24"/>
        </w:rPr>
        <w:t xml:space="preserve">（三）</w:t>
      </w:r>
      <w:bookmarkEnd w:id="104"/>
      <w:r/>
      <w:bookmarkEnd w:id="105"/>
      <w:r>
        <w:rPr>
          <w:rFonts w:hint="eastAsia" w:ascii="宋体" w:hAnsi="宋体" w:eastAsia="宋体" w:cs="宋体"/>
          <w:sz w:val="24"/>
          <w:szCs w:val="24"/>
        </w:rPr>
        <w:t xml:space="preserve">本项</w:t>
      </w:r>
      <w:r>
        <w:rPr>
          <w:rFonts w:hint="eastAsia" w:ascii="宋体" w:hAnsi="宋体" w:eastAsia="宋体" w:cs="宋体"/>
          <w:color w:val="auto"/>
          <w:sz w:val="24"/>
          <w:szCs w:val="24"/>
        </w:rPr>
        <w:t xml:space="preserve">目设定最高限价，最高限价为2640520元（其中皂河站视频监测与AI巡检联动项目571250元；皂河站主变及GIS开关监测改造571250元； 皂河站自动控制系统整合完善976130元；皂河站安全管理设施改造521890元）。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（四）合同履约期限：90日历天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（五）主要内容：</w:t>
      </w:r>
      <w:bookmarkStart w:id="106" w:name="OLE_LINK3"/>
      <w:r>
        <w:rPr>
          <w:rFonts w:hint="eastAsia" w:ascii="宋体" w:hAnsi="宋体" w:eastAsia="宋体" w:cs="宋体"/>
          <w:sz w:val="24"/>
          <w:szCs w:val="24"/>
        </w:rPr>
        <w:t xml:space="preserve">皂河站监测装置及控制系统完善项目，</w:t>
      </w:r>
      <w:bookmarkEnd w:id="106"/>
      <w:r/>
      <w:bookmarkStart w:id="107" w:name="_Toc28279"/>
      <w:r/>
      <w:bookmarkStart w:id="108" w:name="_Toc25504"/>
      <w:r>
        <w:rPr>
          <w:rFonts w:hint="eastAsia" w:ascii="宋体" w:hAnsi="宋体" w:eastAsia="宋体" w:cs="宋体"/>
          <w:sz w:val="24"/>
          <w:szCs w:val="24"/>
        </w:rPr>
        <w:t xml:space="preserve">实施内容:皂河站主变及GIS开关监测改造、皂河站视频监测与AI巡检联动、皂河站自动控制系统整合完善、皂河站安全管理设施改造四个项。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（六）缺陷责任期（质保期）：2年。</w:t>
      </w:r>
      <w:bookmarkEnd w:id="107"/>
      <w:r/>
      <w:bookmarkEnd w:id="108"/>
      <w:r/>
      <w:r/>
    </w:p>
    <w:p>
      <w:pPr>
        <w:ind w:firstLine="480"/>
        <w:spacing w:line="360" w:lineRule="auto"/>
        <w:rPr>
          <w:rFonts w:hint="eastAsia" w:ascii="宋体" w:hAnsi="宋体" w:eastAsia="宋体" w:cs="宋体"/>
          <w:sz w:val="24"/>
          <w:szCs w:val="24"/>
        </w:rPr>
      </w:pPr>
      <w:r/>
      <w:bookmarkStart w:id="109" w:name="_Toc12952"/>
      <w:r/>
      <w:bookmarkStart w:id="110" w:name="_Toc32201"/>
      <w:r>
        <w:rPr>
          <w:rFonts w:hint="eastAsia" w:ascii="宋体" w:hAnsi="宋体" w:eastAsia="宋体" w:cs="宋体"/>
          <w:sz w:val="24"/>
          <w:szCs w:val="24"/>
        </w:rPr>
        <w:t xml:space="preserve">（七）质量要求：合格。</w:t>
      </w:r>
      <w:bookmarkEnd w:id="109"/>
      <w:r/>
      <w:bookmarkEnd w:id="110"/>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（八）服务地点：宿迁市皂河站。</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二、付款方式</w:t>
      </w:r>
      <w:bookmarkEnd w:id="103"/>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1.预付款：合同金额的30%，合同签订生效且乙方提交等额预付款保函（或甲方认为可接受的其他担保方式）后10个工作日内支付；</w:t>
      </w:r>
      <w:r/>
    </w:p>
    <w:p>
      <w:pPr>
        <w:ind w:firstLine="420"/>
        <w:spacing w:after="60" w:line="360" w:lineRule="auto"/>
        <w:rPr>
          <w:rFonts w:hint="eastAsia" w:ascii="宋体" w:hAnsi="宋体" w:eastAsia="宋体" w:cs="宋体"/>
          <w:sz w:val="24"/>
        </w:rPr>
      </w:pPr>
      <w:r>
        <w:rPr>
          <w:rFonts w:hint="eastAsia" w:ascii="宋体" w:hAnsi="宋体" w:eastAsia="宋体" w:cs="宋体"/>
          <w:sz w:val="24"/>
        </w:rPr>
        <w:t xml:space="preserve">2.进度款：（1）设备到货安装完成后支付至合同价款的40%；</w:t>
      </w:r>
      <w:r/>
    </w:p>
    <w:p>
      <w:pPr>
        <w:ind w:firstLine="1680"/>
        <w:spacing w:after="60" w:line="360" w:lineRule="auto"/>
        <w:rPr>
          <w:rFonts w:hint="eastAsia" w:ascii="宋体" w:hAnsi="宋体" w:eastAsia="宋体" w:cs="宋体"/>
          <w:sz w:val="24"/>
        </w:rPr>
      </w:pPr>
      <w:r>
        <w:rPr>
          <w:rFonts w:hint="eastAsia" w:ascii="宋体" w:hAnsi="宋体" w:eastAsia="宋体" w:cs="宋体"/>
          <w:sz w:val="24"/>
        </w:rPr>
        <w:t xml:space="preserve">（2）软件开发调试完成付至合同价款的80%；</w:t>
      </w:r>
      <w:r/>
    </w:p>
    <w:p>
      <w:pPr>
        <w:ind w:firstLine="1680"/>
        <w:spacing w:after="60" w:line="360" w:lineRule="auto"/>
        <w:rPr>
          <w:rFonts w:hint="eastAsia" w:ascii="宋体" w:hAnsi="宋体" w:eastAsia="宋体" w:cs="宋体"/>
          <w:sz w:val="24"/>
        </w:rPr>
      </w:pPr>
      <w:r>
        <w:rPr>
          <w:rFonts w:hint="eastAsia" w:ascii="宋体" w:hAnsi="宋体" w:eastAsia="宋体" w:cs="宋体"/>
          <w:sz w:val="24"/>
        </w:rPr>
        <w:t xml:space="preserve">（3）合同全部完成且验收合格后付至合同价款的100%</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color w:val="000000"/>
          <w:sz w:val="24"/>
          <w:szCs w:val="24"/>
        </w:rPr>
        <w:t xml:space="preserve">注：在签订合同时，成交人明确表示无需预付款或者主动要求降低预付款比例的金额，采购人可不适用预付款规定。</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三、通用管理要求</w:t>
      </w:r>
      <w:r/>
    </w:p>
    <w:p>
      <w:pPr>
        <w:ind w:firstLine="482"/>
        <w:spacing w:before="120" w:after="60" w:line="360" w:lineRule="auto"/>
        <w:rPr>
          <w:rFonts w:hint="eastAsia" w:ascii="宋体" w:hAnsi="宋体" w:eastAsia="宋体" w:cs="宋体"/>
        </w:rPr>
      </w:pPr>
      <w:r>
        <w:rPr>
          <w:rFonts w:hint="eastAsia" w:ascii="宋体" w:hAnsi="宋体" w:eastAsia="宋体" w:cs="宋体"/>
          <w:b/>
          <w:sz w:val="24"/>
        </w:rPr>
        <w:t xml:space="preserve">（一）质量管理要求</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1. 建立现场质量制度和质量保证体系，编制工程项目质量保证计划，在工程建设过程中认真贯彻执行。</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2. 实行技术、质量双向承包责任制，项目负责人和技术负责人对项目质量全程跟踪负责。</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3. 质检员对已完成的功能模块进行全面检查，每个开发阶段完成后报项目负责人抽检验收。</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4. 对系统架构设计、数据接口方案等关键技术方案组织评审确认后方可实施。</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5. 进场原材料及成品、半成品须经发包人检查合格后方可使用，严禁使用不合格产品。</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6. 建立质量问题追溯机制，对发现的质量问题及时整改并记录。</w:t>
      </w:r>
      <w:r/>
    </w:p>
    <w:p>
      <w:pPr>
        <w:spacing w:before="120" w:after="60" w:line="360" w:lineRule="auto"/>
        <w:rPr>
          <w:rFonts w:hint="eastAsia" w:ascii="宋体" w:hAnsi="宋体" w:eastAsia="宋体" w:cs="宋体"/>
        </w:rPr>
      </w:pPr>
      <w:r>
        <w:rPr>
          <w:rFonts w:hint="eastAsia" w:ascii="宋体" w:hAnsi="宋体" w:eastAsia="宋体" w:cs="宋体"/>
          <w:b/>
          <w:sz w:val="24"/>
        </w:rPr>
        <w:t xml:space="preserve">（二）安全管理要求</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1. 建立健全安全生产责任制，明确各级安全责任人，落实安全管理职责。</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2. 必须对作业人员进行安全教育培训，作业时佩戴相应安全用具，无关人员不得逗留在施工场地。</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3. 制定安全技术措施及施工安全交底制度，每项工序施工前进行安全交底。</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4. 施工期间注意用电、网络通信及环境卫生，做到文明施工。</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5. 制定突发事件应急预案，配备应急救援人员和应急救援器材、设备。</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6. 严格遵守甲方现场安全管理规定，接受甲方安全监督检查。</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7. 因乙方原因造成安全事故的，由乙方承担全部责任及费用。</w:t>
      </w:r>
      <w:r/>
    </w:p>
    <w:p>
      <w:pPr>
        <w:spacing w:before="120" w:after="60" w:line="360" w:lineRule="auto"/>
        <w:rPr>
          <w:rFonts w:hint="eastAsia" w:ascii="宋体" w:hAnsi="宋体" w:eastAsia="宋体" w:cs="宋体"/>
        </w:rPr>
      </w:pPr>
      <w:r>
        <w:rPr>
          <w:rFonts w:hint="eastAsia" w:ascii="宋体" w:hAnsi="宋体" w:eastAsia="宋体" w:cs="宋体"/>
          <w:b/>
          <w:sz w:val="24"/>
        </w:rPr>
        <w:t xml:space="preserve">（三）进度管理要求</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1. 编制详细的施工进度计划，明确各阶段节点目标和里程碑。</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2. 合理安排人员和设备，确保按计划推进项目实施。</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3. 定期向甲方汇报项目进度，及时反馈进度偏差及调整措施。</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4. 因乙方原因造成工期延误的，按合同约定承担违约责任。</w:t>
      </w:r>
      <w:r/>
    </w:p>
    <w:p>
      <w:pPr>
        <w:spacing w:before="120" w:after="60" w:line="360" w:lineRule="auto"/>
        <w:rPr>
          <w:rFonts w:hint="eastAsia" w:ascii="宋体" w:hAnsi="宋体" w:eastAsia="宋体" w:cs="宋体"/>
        </w:rPr>
      </w:pPr>
      <w:r>
        <w:rPr>
          <w:rFonts w:hint="eastAsia" w:ascii="宋体" w:hAnsi="宋体" w:eastAsia="宋体" w:cs="宋体"/>
          <w:b/>
          <w:sz w:val="24"/>
        </w:rPr>
        <w:t xml:space="preserve">（四）档案管理要求</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1. 建立项目档案管理制度，指定专人负责档案管理工作。</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2. 项目档案与工程进度同步形成、同步积累、同步整理，确保档案完整、准确、系统。</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3. 项目验收后及时按规定归档，管理所档案室留存一份，报处工管科一份。</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4. 竣工资料应包括但不限于：设计文档、施工文档、测试报告、验收文档、操作手册、运维手册、源代码、设备说明书等。</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5. 档案资料应符合水利工程档案管理相关规定要求。</w:t>
      </w:r>
      <w:r/>
    </w:p>
    <w:p>
      <w:pPr>
        <w:spacing w:before="120" w:after="60" w:line="360" w:lineRule="auto"/>
        <w:rPr>
          <w:rFonts w:hint="eastAsia" w:ascii="宋体" w:hAnsi="宋体" w:eastAsia="宋体" w:cs="宋体"/>
        </w:rPr>
      </w:pPr>
      <w:r>
        <w:rPr>
          <w:rFonts w:hint="eastAsia" w:ascii="宋体" w:hAnsi="宋体" w:eastAsia="宋体" w:cs="宋体"/>
          <w:b/>
          <w:sz w:val="24"/>
        </w:rPr>
        <w:t xml:space="preserve">（五）人员培训要求</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1. 制定详细的培训计划，包括培训目标、培训对象、培训内容、培训方式、时间安排、考核机制等。</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2. 确保甲方操作人员熟练掌握系统使用及日常维护技能。</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3. 提供完整的培训教材及师资，培训方式包括理论培训和实操培训。</w:t>
      </w:r>
      <w:r/>
    </w:p>
    <w:p>
      <w:pPr>
        <w:ind w:firstLine="420"/>
        <w:spacing w:after="60" w:line="360" w:lineRule="auto"/>
        <w:rPr>
          <w:rFonts w:hint="eastAsia" w:ascii="宋体" w:hAnsi="宋体" w:eastAsia="宋体" w:cs="宋体"/>
        </w:rPr>
      </w:pPr>
      <w:r>
        <w:rPr>
          <w:rFonts w:hint="eastAsia" w:ascii="宋体" w:hAnsi="宋体" w:eastAsia="宋体" w:cs="宋体"/>
          <w:sz w:val="24"/>
        </w:rPr>
        <w:t xml:space="preserve">4. 培训结束后进行考核，考核不合格的应免费重新培训。</w:t>
      </w:r>
      <w:r/>
    </w:p>
    <w:p>
      <w:pP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 四、分项目技术及服务需求</w:t>
      </w:r>
      <w:r/>
    </w:p>
    <w:p>
      <w:pPr>
        <w:spacing w:after="120" w:line="360" w:lineRule="auto"/>
        <w:widowControl/>
        <w:rPr>
          <w:rFonts w:hint="eastAsia" w:ascii="宋体" w:hAnsi="宋体" w:eastAsia="宋体" w:cs="宋体"/>
          <w:sz w:val="24"/>
          <w:szCs w:val="27"/>
          <w:lang w:eastAsia="zh-CN"/>
        </w:rPr>
      </w:pPr>
      <w:r>
        <w:rPr>
          <w:rFonts w:hint="eastAsia" w:ascii="宋体" w:hAnsi="宋体" w:eastAsia="宋体" w:cs="宋体"/>
          <w:b/>
          <w:bCs/>
          <w:sz w:val="24"/>
          <w:szCs w:val="27"/>
          <w:lang w:bidi="ar"/>
        </w:rPr>
        <w:t xml:space="preserve">分项目一：</w:t>
      </w:r>
      <w:r>
        <w:rPr>
          <w:rFonts w:hint="eastAsia" w:ascii="宋体" w:hAnsi="宋体" w:cs="宋体"/>
          <w:b/>
          <w:bCs/>
          <w:sz w:val="24"/>
          <w:szCs w:val="27"/>
          <w:lang w:eastAsia="zh-CN" w:bidi="ar"/>
        </w:rPr>
        <w:t xml:space="preserve">皂河站视频监测与AI巡检联动项目</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1.1 项目背景</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皂河站现有视频监控系统设备老化、监控点位覆盖不足</w:t>
      </w:r>
      <w:r>
        <w:rPr>
          <w:rFonts w:hint="eastAsia" w:ascii="宋体" w:hAnsi="宋体" w:eastAsia="宋体" w:cs="宋体"/>
          <w:sz w:val="24"/>
          <w:szCs w:val="27"/>
          <w:lang w:bidi="ar"/>
        </w:rPr>
        <w:t xml:space="preserve">、智能化程度较低，难以满足当前泵站精细化运维管理的需求。现拟在原监控点位基础上进行修改和增设，升级建设具备视频AI智能巡检分析及一键顺控功能的统一管理平台。目前站内视频监控采用独立组网方式，新增监控点位拟采用有线接入方式接入视频网络。在视频巡检方面，现有系统主要依靠人工现场核查，尚未实现AI智能识别与自动预警功能。在一键顺控方面，需实现视频监控系统与工控网自控系统的数据双向对接，借助视频网与工控网之间的防火墙等边界设备，通过IP映射等方式建立双向数据通道，以确保机组开机运行各子流程的及时通讯和异常事件回传。</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1.2 实施依据</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本项目实施的主要依据包括：SL 515-2013《水利视频监视系统技术规范》、SL/T855-2025《数字孪生水利工程建设技术导则》、《皂河站技术实施细则》、《皂河站操作规程》、T/XZBX 0067—2025《水利工程隐患智能识别与预警技术规程》、GB50348-2018《安全防范工程技术标准》、水利部智慧水利及数字孪生相关政策文件。</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1.3 工程概况</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1.3.1 实施部位</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GIS室、1#主变室、泵站10kV高开室、泵站0.4kV低开室、励磁变室、直流室、电机层、联轴层、机坑、上游启闭机房、排水廊道。</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1.3.2 实施内容</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在皂河站变电所及厂房原位修改、增设监控点位，对皂河站设备状态、机组运行液位指示等实现动态监测；建设一个覆盖全站的智能视频巡检平台，实现智能巡检与一键顺控功能，通过利旧现有摄像机并补充AI边缘计算节点、热成像、视频监控等感知设备，实现对泵站设备、建筑、周边水域、人员的全域智能感知。</w:t>
      </w:r>
      <w:r/>
    </w:p>
    <w:p>
      <w:pPr>
        <w:widowControl/>
        <w:rPr>
          <w:rFonts w:hint="eastAsia" w:ascii="宋体" w:hAnsi="宋体" w:eastAsia="宋体" w:cs="宋体"/>
          <w:b/>
          <w:sz w:val="28"/>
          <w:szCs w:val="27"/>
        </w:rPr>
      </w:pPr>
      <w:r>
        <w:rPr>
          <w:rFonts w:hint="eastAsia" w:ascii="宋体" w:hAnsi="宋体" w:eastAsia="宋体" w:cs="宋体"/>
          <w:b/>
          <w:sz w:val="28"/>
          <w:szCs w:val="27"/>
          <w:lang w:bidi="ar"/>
        </w:rPr>
        <w:t xml:space="preserve">2、项目设计与施工方案</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2.1 系统总体设计</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2.1.1 总体架构</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本项目视频联动与AI智能识别系统采用分层架构设计，从下到上包括基础设施层、智能算法层、平台应用层及平台接口层。</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基础设施层：包括各类摄像头及计算、存储、网络等基础设施，为上层提供基础设施管理与服务能力。</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智能算法层：提供设备指示灯状态识别、设备表计识别、漂浮物识别、人员异常行为识别以及油位监测等算法，为各场景下的机电设备安全运行提供智能分析服务支撑。</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平台应用层：提供VR实景应用、视频预览和回溯、开放能力、多维联动应用、实时报警及联动应用、视频轮巡预案、智能巡检及标签管理等应用功能，支撑监测数据的展示及机电设备运行状态监测业务开展。</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平台接口层：提供标准化API接口和数据交换服务，支持与上级管理平台、工控自控系统、机组在线监测系统等外部系统之间的数据对接、指令下发与状态回传，实现跨平台互联互通。</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2.1.2 网络架构</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皂河站内新增监控采用有线接入方式。在视频巡检流程中，视频监控完成现场画面回传，通过管理平台实现定时抓图，并推送给智能巡检主机进行AI分析，产生报警事件回传平台，在平台的告警数据查询中可查阅。在一键顺控流程中，涉及与工控网自控系统的数据双向对接，需借助视频网与工控网之间的防火墙等边界设备，确保开机的每个子流程可实现及时通讯和异常事件回传，实现机组开机运行一键顺控。</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2.1.3 系统核心功能</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（1）智能巡检能力</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系统应具备覆盖皂河站全部关键设备区域（GIS室、主变室、高开室、低开室、电机层、联轴层、排水廊道等）的AI智能巡检能力。</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①AI智能识别算法体系</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系统应完成以下AI识别算法的定制开发、场景适配与部署，各项算法须满足对应技术要求：</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a）仪表读数自动识别：对指针式压力表、油位计、温度表、数显表进行OCR或指针识别，自动录入系统，超阈值报警。关键指标识别准确率不低于99%，仪表读数误差不超过1%，报警误报率不超过2%。b）开关与刀闸位置识别：断路器、隔离开关、接地刀闸分合闸指示区域应完整入镜，位置识别应无漏判、错判。c）运行与故障指示灯识别：信号识别应准确，异常事件到平台告警延迟不超过3秒。d）人员入侵检测：应支持划定电子围栏，实现外来人员入侵智能报</w:t>
      </w:r>
      <w:r>
        <w:rPr>
          <w:rFonts w:hint="eastAsia" w:ascii="宋体" w:hAnsi="宋体" w:eastAsia="宋体" w:cs="宋体"/>
          <w:sz w:val="24"/>
          <w:szCs w:val="27"/>
          <w:lang w:bidi="ar"/>
        </w:rPr>
        <w:t xml:space="preserve">警。e）热成像测温与温差分析：监测电缆接头、母排、变压器套管温度，分析三相温差。应支持配置AI智能测温模式，可配置智能测温与报警参数，可导入热成像智能模型进行目标识别，识别目标物体进行测温展示，联动测温报警。f）设备缺陷与环境监测：实现管道、阀门、法兰等部位渗水、滴水、流水、积油等跑冒滴漏故障识别，支持廊道、水池液位视觉监测识别，完成设备表面温度异常、过热隐患视觉辅助识别。g）安全安防识别：实现厂区人员、车辆非法入侵识别，临水禁区钓鱼违规行为识别，河道无关船只闯入识别，全方位覆盖泵站安全生产与安防管控需求。</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②巡检任务全流程管控</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系统应搭建标准化、智能化巡检任务体系，支持以下功能：a）支持链式展示场景巡检项；b）支持巡检场景切换，巡检项列表跟随场景自动切换；c）支</w:t>
      </w:r>
      <w:r>
        <w:rPr>
          <w:rFonts w:hint="eastAsia" w:ascii="宋体" w:hAnsi="宋体" w:eastAsia="宋体" w:cs="宋体"/>
          <w:sz w:val="24"/>
          <w:szCs w:val="27"/>
          <w:lang w:bidi="ar"/>
        </w:rPr>
        <w:t xml:space="preserve">持人工启动巡检任务，巡检项列表中跟随巡检任务自动更新巡检进度，监控点列表中根据巡检过程自动更新巡检画面；d）支持对检测数量、预警数量进行实时更新；e）支持展示巡检告警，内容包括组织树、任务告警数量、设备缺陷告警、设备状态识别、设备参数识别等告警类型的数量；f）支持按告警时间、巡检项名称、巡检任务名称、告警类型、告警等级、审核状态进行告警查询；g）告警列表内容包括巡检项信息、告警类型、巡检任务、所属网格、巡检结果、采集图片、保障状态等；h）支持对告警信息进行审核操作，支持查看告警详情，支持对告警信息进行推送。</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系统应支持定时巡检、定点巡检、专项巡检、异常复核巡检等多种任务模式，实现巡检任务自动下发、设备自动执行、进度实时同步更新。全程实时采集、记录巡检任务执行状态，涵盖任务启动、运行、暂停、异常、完成等全流程信息，同步归集AI分析过程数据、视频抓拍数据、设备运行数据，形成完整可溯源的巡检数据台账。由智能巡检主机对巡检视频画面、设备运行数据进行智能化解析，自动识别设备缺陷、运行异常、环境隐患，自动生成标准化巡检结果及预警信息。</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（2）一键顺控与联动控制</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系统应支持与工控自控系统的双向数据对接，实现机组开机运行一键顺控功能。根据皂河站机组开机运行的确认流程，采用视频监控及AI识别算法，代替人工现场核实数据的工作，并及时将识别结果推送到自控系统，实现自控系统与视频识别双确认的一键顺控功能。具体功能要求如下：</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逐环节实现自控系统信号与视频AI识别结果的双确认校验，AI识别结果实时推送至自控系统，自控系统依据双确认结果控制流程推进；②任一环节识别结果不一致或超时，系统应自动中止顺控流程并发出告警；③全过程自动记录操作日志、AI识别画面及结果，形成可溯源的顺控操作台账。</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在一键联动控制方面，系统应完成设备控制指令与前端监控摄像机预置位的关联绑定，针对泵站各类受控设备匹配专属预置摄像机位，实现控制指令下发的同时，系统自动激活对应摄像机，精准聚焦设备作业区域，实时抓拍、监测设备控制执行状态。</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在视频AI双确认方面，系统应依托平台AI算法能力，对设备远程控制后的启停、开合、运行、复位等状态进行实时智能识别与状态核验，替代传统单一自控信号反馈模式。构建"自控指令下发—设备动作执行—视频AI实时监测—状态智能比对—结果回传确认"的全自动闭环流程，自动比对自控系统反馈状态与视频AI识别状态，对设备控制到位、动作异常、控制失效、状态不符等情况进行智能判定，实现自动化控制的双重校验。</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施工完成后，应调试一键顺控功能，根据皂河站机组开机运行的确认流程，开展主辅机试运行。</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（3）多维度在线监测</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系统应对接泵站机组在线监测系统，接入并解析机组电流、电压、温度、振动、转速、启停状态、运行负荷等核心运行参数，实现泵站机组运行状态多维度实时感知。整合前端视频监控、巡检点位数据、环境监测数据及设备运维数据，构建泵站全域数据感知体系，实现全站设备、机组运行状态一体化在线监测。配置智能数据研判规则，结合实时监测数据与AI智能巡检分析结果，智能研判设备运行隐患及故障风险，实现提前预警、主动预判，提升泵站智能化运维水平。</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（4）平台安全管理</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a）统一身份认证：平台应支持多因素身份认证机制，包括但不限于用户名/密码、数字证书、动态令牌等，并与现有业务系统实现单点登录集成，确保用户身份可信。b）精细化权限管理：平台应提供基于角色的访问控制功能，能够按用户角色（如管理员</w:t>
      </w:r>
      <w:r>
        <w:rPr>
          <w:rFonts w:hint="eastAsia" w:ascii="宋体" w:hAnsi="宋体" w:eastAsia="宋体" w:cs="宋体"/>
          <w:sz w:val="24"/>
          <w:szCs w:val="27"/>
          <w:lang w:bidi="ar"/>
        </w:rPr>
        <w:t xml:space="preserve">、监控员、运维员）分配数据查看、操作、配置等权限，实现权限最小化原则。c）会话安全管控：平台应支持会话超时自动注销、异常登录检测（如异地登录）等功能，防止未授权访问。d）数据传输加密：平台应支持对视频、图片及敏感数据进行端到端加密，防止传输过程中被窃取或篡改。e）安全通信协议：平台与前端设备之间应强制使用HTTPS/TLS等加密协议进行通信，杜绝明文传输风险。f）安全日志审计：平台应记录所有用户操作（登录、查询、配置变更）、系统事件及AI告警信息，并提供完整的日志检索、导出与审计报表功能，支持事后溯源定责。</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g）系统漏洞管理：平台应具备系统安全基线配置能力，并支持定期漏洞扫描与补丁更新机制，降低系统被攻击风险。</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（5）可视化与展示</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视频预览和回溯：支持实时视频预览、历史视频回放、多画面轮巡；②大屏可视化联动：支持在中控大屏系统上展示巡检结果、告警信息、设备运行状态等综合数据；③VR实景应用：支持结合全景摄像机的VR实景展示，辅助远程巡检与指挥调度。</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（6）系统运维管理</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视频点位在线率统计：支持监控摄像机、存储设备等物联设备的在线状态、工作状态、硬盘状态监测及指标采集；支持监控点通道的在线状态、录制状态、录像完整性、录像保存天数指标检测；支持告警信息统计展现，并支持对监控点的告警阈值进行配置；提供视频运维报表统计能力，包含区域综合排名统计、录像完整性统计、录像存储达标统计、在线状态统计、离线时长统计报表。</w:t>
      </w:r>
      <w:r/>
    </w:p>
    <w:p>
      <w:pPr>
        <w:ind w:firstLine="480"/>
        <w:spacing w:after="120" w:line="360" w:lineRule="auto"/>
        <w:widowControl/>
        <w:rPr>
          <w:rFonts w:hint="eastAsia" w:ascii="宋体" w:hAnsi="宋体" w:eastAsia="宋体" w:cs="宋体"/>
          <w:color w:val="auto"/>
          <w:sz w:val="24"/>
          <w:szCs w:val="27"/>
          <w:highlight w:val="cyan"/>
        </w:rPr>
      </w:pPr>
      <w:r>
        <w:rPr>
          <w:rFonts w:hint="eastAsia" w:ascii="宋体" w:hAnsi="宋体" w:eastAsia="宋体" w:cs="宋体"/>
          <w:color w:val="auto"/>
          <w:sz w:val="24"/>
          <w:szCs w:val="27"/>
          <w:lang w:bidi="ar"/>
        </w:rPr>
        <w:t xml:space="preserve">②视频质量自诊断：系统应具备自动检测摄像机黑屏、冻结、信号丢失等故障的能力，覆盖所有摄像机</w:t>
      </w:r>
      <w:r>
        <w:rPr>
          <w:rFonts w:hint="eastAsia" w:ascii="宋体" w:hAnsi="宋体" w:cs="宋体"/>
          <w:color w:val="auto"/>
          <w:sz w:val="24"/>
          <w:szCs w:val="27"/>
          <w:lang w:eastAsia="zh-CN" w:bidi="ar"/>
        </w:rPr>
        <w:t xml:space="preserve">，在</w:t>
      </w:r>
      <w:r>
        <w:rPr>
          <w:rFonts w:hint="eastAsia" w:ascii="宋体" w:hAnsi="宋体" w:eastAsia="宋体" w:cs="宋体"/>
          <w:color w:val="auto"/>
          <w:sz w:val="24"/>
          <w:szCs w:val="27"/>
          <w:lang w:bidi="ar"/>
        </w:rPr>
        <w:t xml:space="preserve">设备出现故障后1分钟内发出告警提醒信号，设备实时运行状态须每分钟自动刷新一次。</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color w:val="auto"/>
          <w:sz w:val="24"/>
          <w:szCs w:val="27"/>
          <w:lang w:bidi="ar"/>
        </w:rPr>
        <w:t xml:space="preserve">③巡检计划配置：支持巡检计划配置，可按照类型和现有资源以</w:t>
      </w:r>
      <w:r>
        <w:rPr>
          <w:rFonts w:hint="eastAsia" w:ascii="宋体" w:hAnsi="宋体" w:eastAsia="宋体" w:cs="宋体"/>
          <w:sz w:val="24"/>
          <w:szCs w:val="27"/>
          <w:lang w:bidi="ar"/>
        </w:rPr>
        <w:t xml:space="preserve">及自定义的巡检周期进行巡检计划配置。</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2.2 施工方案</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2.2.1 施工条件</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本项目施工地点在皂河站管理区内</w:t>
      </w:r>
      <w:r>
        <w:rPr>
          <w:rFonts w:hint="eastAsia" w:ascii="宋体" w:hAnsi="宋体" w:eastAsia="宋体" w:cs="宋体"/>
          <w:color w:val="auto"/>
          <w:sz w:val="24"/>
          <w:szCs w:val="27"/>
          <w:lang w:bidi="ar"/>
        </w:rPr>
        <w:t xml:space="preserve">。为保障施工安全，施工前需做好安全组织措施及安全技术措施，办理施工安全交底工作。施工期间需注意用电、防溺水、网络通信及环境卫生等工作，做到文明施工、绿色施工，做好设备安装过程中的成品保</w:t>
      </w:r>
      <w:r>
        <w:rPr>
          <w:rFonts w:hint="eastAsia" w:ascii="宋体" w:hAnsi="宋体" w:eastAsia="宋体" w:cs="宋体"/>
          <w:sz w:val="24"/>
          <w:szCs w:val="27"/>
          <w:lang w:bidi="ar"/>
        </w:rPr>
        <w:t xml:space="preserve">护。</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2.2.2 施工内容</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（1）AI巡检联动管理平台</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①平台硬件部署与环境搭建</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完成项目塔式工作站进场安装、固定接线、通电</w:t>
      </w:r>
      <w:r>
        <w:rPr>
          <w:rFonts w:hint="eastAsia" w:ascii="宋体" w:hAnsi="宋体" w:eastAsia="宋体" w:cs="宋体"/>
          <w:sz w:val="24"/>
          <w:szCs w:val="27"/>
          <w:lang w:bidi="ar"/>
        </w:rPr>
        <w:t xml:space="preserve">调试，做好机房接地、防静电、防尘防护处理，满足平台软件运行、数据存储、任务调度的承载要求。利旧现有视频识别算法服务器，纳入统一算力调度体系，实现与新增设备协同工作。搭建平台专用网络环境，完成塔式工作站与智能巡检主机、前端视频设备、机组监测设备、中控大屏系统的网络对接与互通配置，划分专属数据传输网段，有效规避泵站现场电磁干扰，保障视频流、设备监测数据稳定、低延迟传输。完成服务器操作系统、数据库及配套运行依赖环境的安装配置，适配泵站7×24小时不间断运行工况，开展系统稳定性及压力测试，确保硬件平台长期可靠运行。</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②AI巡检联动平台软件部署与配置</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完成AI巡检联动管理平台软件安装</w:t>
      </w:r>
      <w:r>
        <w:rPr>
          <w:rFonts w:hint="eastAsia" w:ascii="宋体" w:hAnsi="宋体" w:eastAsia="宋体" w:cs="宋体"/>
          <w:sz w:val="24"/>
          <w:szCs w:val="27"/>
          <w:lang w:bidi="ar"/>
        </w:rPr>
        <w:t xml:space="preserve">、授权激活及系统参数初始化，完整部署任务管理、AI智能分析、设备状态监测、数据推送、大屏可视化联动等核心功能模块。平台须兼容现有视频监控系统，实现与既有摄像机、存储设备等前端设备的无缝对接。完成平台与站内智能巡检主机的通信协议对接、数据适配及算力联动调试，支持平台远程调用巡检主机、下发智能巡检任务、归集现场采集数据，实现平台统一调度、前端设备智能执行的联动机制。结合皂河泵站设备工况及现场环境，本地化配置AI巡检规则、识别阈值及智能分析模型，适配泵站机组、泵房设备、廊道区域、配电设施等全场景智能巡检识别需求。</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（2）自动化系统联动开发</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①系统接口调研与协议适配开发</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调研泵站现有自动化控制系统架构、通信协议、数据点位及控制逻辑，梳理机组、水泵、阀门等站内设备的远程控制指令、运行状态反馈点位清单。开展自控系统与视频AI监控系统的双向接口适配开发，完成两套系统的协议解析、数据对接与端口适配，搭建专属联动数据交互通道，实现自控系统指令、设备运行状态、AI视频识别数据的实时双向传输、互通互传，保障跨系统数据交互稳定、无延迟、无丢包。</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②一键联动控制程序开发配置</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定制开发泵站设备一键联动控制程序，搭建一体化远程操控逻辑架构，支持运维人员单键触发设备远程控制指令，系统自动完成指令解析、下发、执行全流程操作。完成设备控制指令与前端监控摄像机预置位的关联绑定开发，针对泵站各类受控设备，匹配专属预置摄像机位，实现控制指令下发的同时，系统自动激活对应摄像机，精准聚焦设备作业区域，实时抓拍、监测设备控制执行状态。</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（3）AI智能识别算法开发与训练</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①泵站场景AI识别需求梳理与模型方案定制</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结合皂河站现场实际工况，全面梳理项目AI智能识别业务场景，涵盖开关位置状态识别、机械及电子表计读数识别、设备指示灯状态识别、现场显示屏参数读数识别、设备跑冒滴漏缺陷识别、现场液位识别、设备温度识别、人员车辆入侵识别、禁区钓鱼识别、河道船只闯入识别等全部应用场景。依据泵站设备外观特征、监控拍摄角度、昼夜光照变化、潮湿复杂环境等因素，由供应商定制泵站专属AI算法模型架构，负责完成模型训练和部署，并编制样本采集、模型训练、精度优化、现场适配的专项实施方案。</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②多场景AI识别算法开发部署</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完成全场景AI智能识别算法的定制开发、场景适配与系统部署。</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③现场样本采集、标注与模型训练</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开展全站AI识别场景图像样本采集工作，覆盖白天、夜间、阴雨、逆光、弱光等全时段、全气候工况，完整采集设备正常运行、异常故障、渗漏缺陷、人员入侵、违规钓鱼、船只闯入等各类场景图像数据。对采集样本进行精细化分类标注，完成开关状态、仪表刻度、指示灯状态、屏幕字符、渗漏区域、液位高度、人员车辆、目标船只等关键目标精准标注，搭建皂河泵站专属AI样本数据库。基于样本库开展深度学习模型训练、参数调优与迭代升级，有效提升各类目标识别准确率与检出率，降低误报、漏报概率，适配泵站复杂现场环境。</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④算法本地化适配与阈值优化调试</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将训练完成的各类AI识别模型统一部署至智能巡检主机，完成算法本地化落地适配。结合现场设备安装位置、监控点位角度、环境光照干扰等实际情况，对各算法识别阈值、检测灵敏度、智能判定规则进行精细化调试优化。针对微小渗漏识别、弱光环境读数识别、远距离目标监测、指示灯微弱状态变化识别等难点场景开展专项优化，保障所有AI识别算法运行稳定、识别精准、适配性强，满足泵站7×24小时不间断智能监测需求。</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⑤智能研判、告警规则配置与联动调试</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依据泵站安全生产管理制度，配置各类AI识别事件的智能研判规则与分级告警策略。针对开关位置异常、表计读数越限、指示灯工作异常、屏幕参数异常、设备跑冒滴漏、液位超限、设备温度异常、人员车辆入侵、禁区钓鱼、船只闯入等异常事件，实现自动研判、实时记录、弹窗告警、数据留存。完成AI识别系统与管理平台、中控大屏、日志系统的联动调试，实现识别结果实时上传、异常事件联动推送、运行数据统计溯源，构建全方位、智能化的泵站安全预警体系。</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（5）变电所新增点位</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GIS室：围绕1#主变，增加4台双镜头摄像机，1台监测1号主变701间隔控制柜指示灯状态、701开关断路器分合、水官7835间隔控制柜指示灯状态、水官7835开关断路器分合；1台监测1间隔气室压力；1台监测1间隔刀闸分合位置；1台监测2间隔刀闸分合位置。增加4台微距摄像机，通过拍摄气室压力表盘并结合AI仪表识别算法，自动读取4个刀闸气室压力值。</w:t>
      </w:r>
      <w:r/>
    </w:p>
    <w:p>
      <w:pPr>
        <w:ind w:firstLine="480"/>
        <w:spacing w:after="120" w:line="360" w:lineRule="auto"/>
        <w:widowControl/>
        <w:rPr>
          <w:rFonts w:hint="eastAsia" w:ascii="宋体" w:hAnsi="宋体" w:eastAsia="宋体" w:cs="宋体"/>
          <w:sz w:val="24"/>
          <w:szCs w:val="27"/>
          <w:lang w:bidi="ar"/>
        </w:rPr>
      </w:pPr>
      <w:r>
        <w:rPr>
          <w:rFonts w:hint="eastAsia" w:ascii="宋体" w:hAnsi="宋体" w:eastAsia="宋体" w:cs="宋体"/>
          <w:sz w:val="24"/>
          <w:szCs w:val="27"/>
          <w:lang w:bidi="ar"/>
        </w:rPr>
        <w:t xml:space="preserve">②主变：增加2台测温球机监测桩头、套管等温度异常变化，1台双镜头摄像机监测中性点接地刀闸分合、油枕液位表、排气口硅胶变色等。</w:t>
      </w:r>
      <w:r/>
    </w:p>
    <w:p>
      <w:pPr>
        <w:ind w:firstLine="480"/>
        <w:spacing w:after="120" w:line="360" w:lineRule="auto"/>
        <w:widowControl/>
        <w:rPr>
          <w:rFonts w:hint="eastAsia" w:ascii="宋体" w:hAnsi="宋体" w:eastAsia="宋体" w:cs="宋体"/>
          <w:sz w:val="24"/>
          <w:szCs w:val="27"/>
          <w:lang w:bidi="ar"/>
        </w:rPr>
      </w:pPr>
      <w:r>
        <w:rPr>
          <w:rFonts w:hint="eastAsia" w:ascii="宋体" w:hAnsi="宋体" w:eastAsia="宋体" w:cs="宋体"/>
          <w:sz w:val="24"/>
          <w:szCs w:val="27"/>
          <w:lang w:bidi="ar"/>
        </w:rPr>
        <w:t xml:space="preserve">（6）主机层新增点位</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①现场柜：增加2台全彩枪球，全景覆盖机组运行状况，细节相机聚焦现场柜仪表读数。</w:t>
      </w:r>
      <w:r/>
    </w:p>
    <w:p>
      <w:pPr>
        <w:spacing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（7）联轴层新增点位</w:t>
      </w:r>
      <w:r/>
    </w:p>
    <w:p>
      <w:pPr>
        <w:ind w:firstLine="480"/>
        <w:spacing w:after="120" w:line="360" w:lineRule="auto"/>
        <w:widowControl/>
        <w:rPr>
          <w:rFonts w:hint="eastAsia" w:ascii="宋体" w:hAnsi="宋体" w:eastAsia="宋体" w:cs="宋体"/>
          <w:sz w:val="24"/>
          <w:szCs w:val="27"/>
          <w:lang w:bidi="ar"/>
        </w:rPr>
      </w:pPr>
      <w:r>
        <w:rPr>
          <w:rFonts w:hint="eastAsia" w:ascii="宋体" w:hAnsi="宋体" w:eastAsia="宋体" w:cs="宋体"/>
          <w:sz w:val="24"/>
          <w:szCs w:val="27"/>
          <w:lang w:bidi="ar"/>
        </w:rPr>
        <w:t xml:space="preserve">①油缸油位监测：增加2台固定摄像机，对准油杯，结合AI表计识别设备实现油位自动识别。②机坑监测：针对机组运行区域增加2台黑光球机，监测机组转动情况、积水情况。③叶调机构监测：增加1台双镜头摄</w:t>
      </w:r>
      <w:r>
        <w:rPr>
          <w:rFonts w:hint="eastAsia" w:ascii="宋体" w:hAnsi="宋体" w:eastAsia="宋体" w:cs="宋体"/>
          <w:sz w:val="24"/>
          <w:szCs w:val="27"/>
          <w:lang w:bidi="ar"/>
        </w:rPr>
        <w:t xml:space="preserve">像机，识别储能罐磁翻板读数以及储能罐压力表；增加1台固定网络摄像机，识别储能罐跑冒滴漏监测；增加1台云台小球，用于回油箱磁翻板读数。④冷却水进水、液压减载及空气围带监测：增加2台黑光球机，对冷却水进水水压表、空气围带压力表等仪表实现监测；冷却水回水监测：增加2台黑光球机，对冷却水回水流量计进行监测。⑤水泵动力箱：增加1台双镜头摄像机，用于箱体表面表计识别。⑥空压机动力箱、储气罐：增加2台云台小球，对空压机动力箱和储气罐压力进行监测。⑦高压配电间：增加2台双镜头摄像机，对高压室电器柜柜面表计、指示灯进行监测。</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⑧低压配电间：增加4台双镜头摄像机，进行柜面表计、指示灯监测。</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⑨直流室：增加1台AI双镜头旋转摄像机，进行柜面表计、指示灯监测。⑩励磁变：增加2台测温卡片机，监测2个励磁柜三相电接口温度。⑪利旧点位：联轴层已建点位可用于环境监测。</w:t>
      </w:r>
      <w:r/>
    </w:p>
    <w:p>
      <w:pPr>
        <w:spacing w:line="360" w:lineRule="auto"/>
        <w:widowControl/>
        <w:rPr>
          <w:rFonts w:hint="eastAsia" w:ascii="宋体" w:hAnsi="宋体" w:eastAsia="宋体" w:cs="宋体"/>
          <w:b/>
          <w:sz w:val="24"/>
          <w:szCs w:val="27"/>
        </w:rPr>
      </w:pPr>
      <w:r>
        <w:rPr>
          <w:rFonts w:hint="eastAsia" w:ascii="宋体" w:hAnsi="宋体" w:eastAsia="宋体" w:cs="宋体"/>
          <w:b/>
          <w:sz w:val="24"/>
          <w:szCs w:val="27"/>
          <w:lang w:bidi="ar"/>
        </w:rPr>
        <w:t xml:space="preserve">2.2.3 施工管理</w:t>
      </w:r>
      <w:r/>
    </w:p>
    <w:p>
      <w:pPr>
        <w:ind w:firstLine="480"/>
        <w:spacing w:after="120" w:line="360" w:lineRule="auto"/>
        <w:widowControl/>
        <w:rPr>
          <w:rFonts w:hint="eastAsia" w:ascii="宋体" w:hAnsi="宋体" w:eastAsia="宋体" w:cs="宋体"/>
          <w:sz w:val="24"/>
          <w:szCs w:val="27"/>
        </w:rPr>
      </w:pPr>
      <w:r>
        <w:rPr>
          <w:rFonts w:hint="eastAsia" w:ascii="宋体" w:hAnsi="宋体" w:eastAsia="宋体" w:cs="宋体"/>
          <w:sz w:val="24"/>
          <w:szCs w:val="27"/>
          <w:lang w:bidi="ar"/>
        </w:rPr>
        <w:t xml:space="preserve">技术负责人应熟悉施工图纸并合理安排人员，是保证质量和进度的基本条件。质检员对已完成的每道工序进行全面检查，每道工序完成后应报项目负责人抽检；隐蔽工程须双方共同检查签字验收。施工作业期间，应注意天气变化情况，合理调配各工序进行交叉作业。必须对作业人员进行安全教育，并佩戴相应安全用具，无关人员不得逗留施工场地。</w:t>
      </w:r>
      <w:r/>
    </w:p>
    <w:p>
      <w:pPr>
        <w:spacing w:line="540" w:lineRule="exact"/>
        <w:rPr>
          <w:rFonts w:hint="eastAsia" w:ascii="宋体" w:hAnsi="宋体" w:eastAsia="宋体" w:cs="宋体"/>
          <w:b/>
          <w:bCs/>
          <w:sz w:val="28"/>
          <w:szCs w:val="28"/>
        </w:rPr>
      </w:pPr>
      <w:r>
        <w:rPr>
          <w:rFonts w:hint="eastAsia" w:ascii="宋体" w:hAnsi="宋体" w:eastAsia="宋体" w:cs="宋体"/>
          <w:b/>
          <w:bCs/>
          <w:sz w:val="28"/>
          <w:szCs w:val="28"/>
        </w:rPr>
        <w:t xml:space="preserve">分项目二：皂河站主变及GIS开关监测改造 </w:t>
      </w:r>
      <w:r/>
    </w:p>
    <w:p>
      <w:pPr>
        <w:spacing w:line="360" w:lineRule="auto"/>
        <w:rPr>
          <w:rFonts w:hint="eastAsia" w:ascii="宋体" w:hAnsi="宋体" w:eastAsia="宋体" w:cs="宋体"/>
          <w:b/>
          <w:bCs/>
          <w:sz w:val="24"/>
          <w:szCs w:val="24"/>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工程维修部位、维修缘由及维修内容</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实施部位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皂河站1#主变和110kVGIS开关。</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1.2</w:t>
      </w:r>
      <w:r>
        <w:rPr>
          <w:rFonts w:hint="eastAsia" w:ascii="宋体" w:hAnsi="宋体" w:eastAsia="宋体" w:cs="宋体"/>
          <w:sz w:val="24"/>
          <w:szCs w:val="24"/>
        </w:rPr>
        <w:t xml:space="preserve">实施内容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此次主要内容是1#主变与110kV GIS开关的智能化在线监测系统安装。核心工作包括：在主变侧安装特高频/高频局放传感器、油中溶解气体在线监测装置及振动传感器，实现电气与机械故障的实时预警；在GIS断路器气室两侧加装外置式UHF局放传感器，完成气室绝缘状态在线感知。在除避雷器外的其他断路器、隔离开关等气室加装SF6微水密度传感器。同步部署故障预测与健康管理（PHM）平台，集成多源数据，实现状态评估、故障诊断及检修建议输出。施工涉及传感器本体安装、配套智能柜体就位、取油管路预埋及系统联调，最终满足工作要求。</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1.3</w:t>
      </w:r>
      <w:r>
        <w:rPr>
          <w:rFonts w:hint="eastAsia" w:ascii="宋体" w:hAnsi="宋体" w:eastAsia="宋体" w:cs="宋体"/>
          <w:sz w:val="24"/>
          <w:szCs w:val="24"/>
        </w:rPr>
        <w:t xml:space="preserve">竣工资料、备品备件及培训验收评定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竣工资料完整性检查：移交资料包括但不限于：设备出厂合格证及检测报告、开箱验收记录、施工安装记录、接线端子图及原理图、通讯点表、各单体调试及系统联调报告、PHM系统软件配置手册及操作维护说明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②系统备份与数据安全：提供调试完备后的PHM系统镜像备份，具备定期自动备份运行数据的策略配置，备份恢复功能验证成功，历史数据存储不少于5年的容量配置核实。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③备品备件及专用工具移交：按合同清单移交备品备件及专用安装/调试工具，清单数量、型号与采购明细一致，包装完好。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现场培训与运维交接：完成对买方运维人员的现场技术培训，内容包括系统原理、日常巡检流程、后台软件操作、简易故障排除及紧急处置措施。培训后进行考核，运维人员能独立完成数据查询、报表导出、报警确认及传感器简单维护操作，签署培训确认书及设备移交单。</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1.4</w:t>
      </w:r>
      <w:r>
        <w:rPr>
          <w:rFonts w:hint="eastAsia" w:ascii="宋体" w:hAnsi="宋体" w:eastAsia="宋体" w:cs="宋体"/>
          <w:sz w:val="24"/>
          <w:szCs w:val="24"/>
        </w:rPr>
        <w:t xml:space="preserve">项目实施</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项目设计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本项目遵循“在线监测准确报警、离线检测故障诊断”的技术路线，在不改变变压器及GIS设备结构的前提下，加装智能传感器，构建在线监测与健康管理平台，实现设备状态实时感知、故障预警与运维辅助决策。</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1.6</w:t>
      </w:r>
      <w:r>
        <w:rPr>
          <w:rFonts w:hint="eastAsia" w:ascii="宋体" w:hAnsi="宋体" w:eastAsia="宋体" w:cs="宋体"/>
          <w:sz w:val="24"/>
          <w:szCs w:val="24"/>
        </w:rPr>
        <w:t xml:space="preserve">平台功能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故障预测及健康管理平台汇聚主变及GIS全量监测数据，实时数据展示与曲线分析、分级告警、放电类型识别与故障定位、历史数据存储、相似故障案例推荐及全寿命周期档案管理。系统支持MODBUS、TCP/IP协议，可对接站内SCADA系统。</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1.7</w:t>
      </w:r>
      <w:r>
        <w:rPr>
          <w:rFonts w:hint="eastAsia" w:ascii="宋体" w:hAnsi="宋体" w:eastAsia="宋体" w:cs="宋体"/>
          <w:sz w:val="24"/>
          <w:szCs w:val="24"/>
        </w:rPr>
        <w:t xml:space="preserve">土建施工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按设计尺寸浇筑油中气体监测柜混凝土基础，预埋接地扁钢及电缆穿线孔；敷设Φ50不锈钢取油管路，经暗埋敷设至柜子，过墙处加装防水套管，全管路防腐处理。</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1.8</w:t>
      </w:r>
      <w:r>
        <w:rPr>
          <w:rFonts w:hint="eastAsia" w:ascii="宋体" w:hAnsi="宋体" w:eastAsia="宋体" w:cs="宋体"/>
          <w:sz w:val="24"/>
          <w:szCs w:val="24"/>
        </w:rPr>
        <w:t xml:space="preserve">设备安装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变压器特高频局放在线监测安装：现场勘查准备、三通阀加装、传感器固定、电缆敷设及接线校验五个环节。安装前需核对停电窗口期，检查UHF传感器、同轴电缆、不锈钢三通阀及附件的出厂合格证与检测报告，并现场勘查原检修阀门位置、尺寸及电缆走向，确定安装方位。正式施工时，在原检修阀门处加装配套不锈钢三通阀并旋转90°锁定，将传感器通过N型接口与三通</w:t>
      </w:r>
      <w:r>
        <w:rPr>
          <w:rFonts w:hint="eastAsia" w:ascii="宋体" w:hAnsi="宋体" w:eastAsia="宋体" w:cs="宋体"/>
          <w:sz w:val="24"/>
          <w:szCs w:val="24"/>
        </w:rPr>
        <w:t xml:space="preserve">阀侧口对接，调整朝向使其正对变压器内部腔体以确保超高频电磁波有效接收，紧固后检查防松密封。随后沿变压器本体外侧采用屏蔽同轴电缆（50Ω）从传感器引出，经电缆槽盒或保护管敷设至主变监测智能柜，电缆弯曲半径符合规范，两端分别接入传感器输出口与IED采集单元输入口，连接器拧紧、屏蔽层单端接地。全部接口密封检查无误后整理绑扎电缆并做好标识，对三通阀及传感器外露部分加装防护罩满足防尘防潮要求。安装完毕后进行绝缘电阻测试与连通性检查，设备带电后通过就地IED或后台系统校验信号幅值与相位，确认传感器工作正常且无异常干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主变局部放电在线监测安装：安装前先核对停电窗口期，检查高频电流传感器、同轴电缆及附件合格证，现场勘查变压</w:t>
      </w:r>
      <w:r>
        <w:rPr>
          <w:rFonts w:hint="eastAsia" w:ascii="宋体" w:hAnsi="宋体" w:eastAsia="宋体" w:cs="宋体"/>
          <w:sz w:val="24"/>
          <w:szCs w:val="24"/>
        </w:rPr>
        <w:t xml:space="preserve">器铁芯及夹件接地铜排位置，确定传感器安装点及电缆走向。施工时将开合式钳型高频传感器直接卡装于变压器接地铜排上，确保铁芯与夹件接地线同时穿过传感器中心孔径并锁紧卡扣，安装方向正确、接触紧密；沿变压器本体及电缆沟敷设50Ω同轴电缆至主变监测智能柜，弯曲半径满足要求，屏蔽层单端接地；电缆两端分别连接传感器输出口与IED采集单元输入口，N型接头拧紧牢固。全部接口密封检查后绑扎固定线缆并挂牌标识。安装完成后进行绝缘测试与回路连通性检查，设备带电后通过IED或后台系统校验信号幅值与相位，确认传感器工作正常且无异常干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变油气体在线监测：先完成现场勘查，确定柜子安装位置（油池边缘混凝土基础），核对主变本体上下取样阀位置及二次室电缆通道走向，确认停电窗口期并办好相关作业票。按600mm×600mm尺寸浇筑混凝土设备基础，高出地坪150mm，预埋40×4mm接地扁钢及电缆穿线孔；同时预制Φ50不锈钢无缝取油管路，由主变取样阀门处暗埋敷设至柜子位置，管路坡度不小于3‰确保残</w:t>
      </w:r>
      <w:r>
        <w:rPr>
          <w:rFonts w:hint="eastAsia" w:ascii="宋体" w:hAnsi="宋体" w:eastAsia="宋体" w:cs="宋体"/>
          <w:sz w:val="24"/>
          <w:szCs w:val="24"/>
        </w:rPr>
        <w:t xml:space="preserve">油自流回主变，过地面及墙体处加装防水套管，全程做好防腐固定。基础养护达标后，将监测柜落地就位于基础上，调整水平并紧固地脚螺栓，柜体接地通过扁钢焊接至主接地网，接地电阻小于0.5Ω；将预埋不锈钢管路与主变本体取样阀及柜子进油口可靠对接，所有接头密封处理、无渗漏。信号电缆与电源电缆经穿线孔引入柜内，分别接至采集分析仪及电源模块，强弱电分槽布线、屏蔽层单端接地。安装完成后进行管路气压试验与密封性检查，设备送电后校准气体检测精度，设置分析周期及告警阈值，与后台系统联调确认数据上传正常，整机防护等级满足IP54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变压器振动在线监测：变压器振动在线监测采用压电式加速度传感器，安装全程无需停电，属非侵入式作业。安装前先核对停电窗口期，检查传感器、磁吸底座及同轴电缆附件合格证，现场勘查变压器油箱外壁及底部支座结构，结合ABC三相分布确定各传感器安装点位，避开高温区域与强振动干扰源。施工时将</w:t>
      </w:r>
      <w:r>
        <w:rPr>
          <w:rFonts w:hint="eastAsia" w:ascii="宋体" w:hAnsi="宋体" w:eastAsia="宋体" w:cs="宋体"/>
          <w:sz w:val="24"/>
          <w:szCs w:val="24"/>
        </w:rPr>
        <w:t xml:space="preserve">传感器通过磁吸底座分别吸附固定于变压器高压侧油箱外壁及底座对应测点位置（ABC三相各一只），确保吸附面平整、接触紧密、方向一致，采集振动幅值与频谱数据；沿变压器本体外侧采用屏蔽同轴电缆从各传感器引出，经电缆槽盒或保护管敷设至主变监测智能柜，电缆弯曲半径符合规范，屏蔽层单端接地，两端分别接入传感器输出口与振动采集仪输入通道，连接器紧固锁紧。全部接口密封检查后绑扎固定线缆并做好标识。安装完成后进行绝缘测试与回路连通性检查，设备带电后通过就地采集仪或后台系统校验各通道振动信号，确认传感器工作正常且无异常环境干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GIS 局部放电监测：GIS局部放电监测采用外置式特高频（UHF）法，传感器安装全程无需停电或仅需短时停电。安装前先核对停电窗口期，检查UHF传感器、同轴电缆及附件合格证，现场勘查GIS各气室盆式绝缘子检测口位置，确认安装空间、朝向及电缆走向。施工时将外置式UHF传感器分别安装于断路</w:t>
      </w:r>
      <w:r>
        <w:rPr>
          <w:rFonts w:hint="eastAsia" w:ascii="宋体" w:hAnsi="宋体" w:eastAsia="宋体" w:cs="宋体"/>
          <w:sz w:val="24"/>
          <w:szCs w:val="24"/>
        </w:rPr>
        <w:t xml:space="preserve">器、隔离开关、PT、避雷器等各气室盆式绝缘子检测口处，于罐体接缝处外部固定安装，确保传感器紧贴绝缘子表面，朝向对准气室内部以有效接收局部放电产生的超高频电磁波信号，紧固夹具防松；沿GIS本体及电缆桥架敷设50Ω同轴电缆至GIS就地智能箱，弯曲半径满足要求，屏蔽层单端接地；电缆两端分别连接传感器输出口与IED采集单元输入口，N型接头拧紧牢固。全部接口密封检查后绑扎固定线缆并挂牌标识。安装完成后进行绝缘测试与回路连通性检查，设备带电后通过IED或后台系统校验各通道信号幅值与相位，确认传感器工作正常且无异常干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GIS SF6微水密度监测：安装前先核对停电窗口期，检查各气室传感器、三通接头及密封件合格证，现场勘查GIS各气室补气阀接口螺纹规格与安装</w:t>
      </w:r>
      <w:r>
        <w:rPr>
          <w:rFonts w:hint="eastAsia" w:ascii="宋体" w:hAnsi="宋体" w:eastAsia="宋体" w:cs="宋体"/>
          <w:sz w:val="24"/>
          <w:szCs w:val="24"/>
        </w:rPr>
        <w:t xml:space="preserve">空间，确认不停气改造可行性。施工时拆下各气室原有压力表或堵头，将配套三通接头旋入补气口并可靠密封，再将微水密度传感器安装于三通侧口，确保朝向便于接线与读数，紧固力矩符合密封要求、无气体泄漏；沿GIS本体敷设屏蔽通信电缆至GIS就地智能箱，电缆弯曲半径满足规范，屏蔽层单端接地，电缆两端分别连接传感器RS485输出口与IED采集单元输入口。全部接口安装完成后进行SF6气体检漏，确认无泄漏；设备送电后校验各传感器露点、微水、压力、密度及温度参数，与后台系统联调确认数据上传正常，设置告警阈值，系统投入在线监测运行。</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1.9</w:t>
      </w:r>
      <w:r>
        <w:rPr>
          <w:rFonts w:hint="eastAsia" w:ascii="宋体" w:hAnsi="宋体" w:eastAsia="宋体" w:cs="宋体"/>
          <w:sz w:val="24"/>
          <w:szCs w:val="24"/>
        </w:rPr>
        <w:t xml:space="preserve">线缆敷设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变监测智能柜，电源线从现场端子箱引接。主变振动传感器、变压器局放传感器信号线从变压器主体引接到主变监测智能柜。然后鹅卵石下部约30cm，采用镀锌钢管预埋信号线至主变监测智能柜，确保线缆不会被破坏。油色谱采集仪的油管从上下放油口引接到鹅卵石下部约30cm，再连接至主变监测智能柜。主变监测智能柜信号线利用已有现场主变端子箱至变电所二次室的电缆通道进入二次室，再从二次室进入电缆桥架，铺设至中控室中控台。电源通过现场的4#间隔控制柜引接。传感器信号线通过现场已有预埋电缆桥架预埋至GIS就地智能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GIS就地智能箱信号线通过GIS至中控室的电缆桥架或管道预埋至中控室控制台。</w:t>
      </w:r>
      <w:r/>
    </w:p>
    <w:p>
      <w:pPr>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1.10</w:t>
      </w:r>
      <w:r>
        <w:rPr>
          <w:rFonts w:hint="eastAsia" w:ascii="宋体" w:hAnsi="宋体" w:eastAsia="宋体" w:cs="宋体"/>
          <w:sz w:val="24"/>
          <w:szCs w:val="24"/>
        </w:rPr>
        <w:t xml:space="preserve">系统调试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单体设备校准→就地柜数据采集调试→后台系统联调→设定国标告警阈值→模拟异常信号验证软硬件告警功能。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通过加装上述传感器，可以满足DL/T 393-2010 输变电设备状态检修试验规程和DL/T 572-2021 电力变压器运行规程等标准中对变压器的日常巡检及部分例行试验检测项目，实现变压器的无人化值守、GIS的实时在线监测，故障提前预警。整套监测装置具备完善的数据对接适配能力，可无缝对接本单位现有电脑管理平台，兼容智慧泵站系统的数据传输协议与交互架构，监测采集到的设备状态、告警信息能够同步上传至泵站管控大屏与后台管理终端，无需大规模改造现有平台即可实现数据互通、统一管控。</w:t>
      </w:r>
      <w:r/>
    </w:p>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分项目三：皂河站自动控制系统整合完善</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1.项目基本概况</w:t>
      </w:r>
      <w:r/>
    </w:p>
    <w:p>
      <w:pPr>
        <w:ind w:firstLine="480"/>
        <w:spacing w:after="12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皂河站经过多年改造与信息化建设，已建</w:t>
      </w:r>
      <w:r>
        <w:rPr>
          <w:rFonts w:hint="eastAsia" w:ascii="宋体" w:hAnsi="宋体" w:eastAsia="宋体" w:cs="宋体"/>
          <w:sz w:val="24"/>
          <w:szCs w:val="24"/>
          <w:lang w:bidi="ar"/>
        </w:rPr>
        <w:t xml:space="preserve">成自动化监控系统、绝缘监测、振动监测、视频监视、可视化平台、数字孪生系统等多套业务系统，各系统在泵站运行管理中发挥了积极作用。但由于各系统独立建设、数据分散，未能形成有效的数据共享与业务联动，整体效能提升有限。为适应水利现代化建设的新要求，立足泵站安全高效运行的现实需求，开展皂河站自动控制系统整合完善建设，主要包括多源异构数据汇聚接入、综合数据库建设、倾斜摄影与BIM建模、多源数据融合、可视化展示平台搭建、监视设备部署及智能应用系统开发等内容，构建数据统一、模型赋能、可视直观、运维高效的一体化智能泵站平台。</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2.项目实施内容</w:t>
      </w:r>
      <w:r/>
    </w:p>
    <w:p>
      <w:pPr>
        <w:ind w:firstLine="482"/>
        <w:spacing w:line="36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（1）实施部位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皂河站管理区。</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（2） 实施缘由</w:t>
      </w:r>
      <w:r/>
    </w:p>
    <w:p>
      <w:pPr>
        <w:ind w:firstLine="480"/>
        <w:spacing w:after="120"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皂河站经过多年改造与信息化建设，已建成多套业务系统。但受建设周期、承建厂商、技术标准不统一等因素影响，各系统独立运行、数据孤岛问题突出，存在数据源异构、数据标准不统一、数据冗余、无效数据较多、无统一数据存储体系、无可视化综合展示载体等问题，无法支撑泵站智能化、数字化、可视化一体化管控需求，制约了泵站运维效率、调度精准度与智慧化管理水平提升。</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（3）实施内容</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本项目施工内容按五大板块逐项实施。施工单位应严格按照本方案及相关技术规范要求开展开发实施工作。项目交付时，须提交完整的项目成果，包括但不限于：全部源代码（含完整注释）、系统部署包、数据库脚本、软件设计说明书、接口说明文档、用户操作手册、系统运维手册及项目验收所需的全套技术文档。所有交付物须为原始可编辑格式，不得以任何形式（包括但不限于代码加密、代码混淆、仅提供编译后文件、封装为不可编辑格式等）对交付内容进行处理。</w:t>
      </w:r>
      <w:r/>
    </w:p>
    <w:p>
      <w:pPr>
        <w:ind w:firstLine="482"/>
        <w:spacing w:line="36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五大板块概述如下：</w:t>
      </w:r>
      <w:r/>
    </w:p>
    <w:p>
      <w:pPr>
        <w:ind w:firstLine="482"/>
        <w:spacing w:line="36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板块一：数据治理体系建设</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对皂河站现有业务系统和数据源开展多源异构数据汇聚接入，开发数据传输通道，实施数据清洗治理，建设运行数据库和业务数据库，构建全站统一的数据资源底座。</w:t>
      </w:r>
      <w:r/>
    </w:p>
    <w:p>
      <w:pPr>
        <w:ind w:firstLine="482"/>
        <w:spacing w:line="36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板块二：三维场景构建</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采用无人机倾斜摄影技术完成皂河枢纽周边实景影像数据采集与处理，生成高精度实景三维模型。对皂河站主厂房内部各功能区域三维建模，对尚未建模的辅机设备进行增量建模。皂河站已有数字孪生项目建设成果，主机组等核心机电设备已具备1:1精细化三维模型，最终实现全站设备模型全覆盖。</w:t>
      </w:r>
      <w:r/>
    </w:p>
    <w:p>
      <w:pPr>
        <w:ind w:firstLine="482"/>
        <w:spacing w:line="36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板块三：可视化平台搭建</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基于可视化引擎搭建多源数据融合体系，将板块一治理完成的数据与板块二建成的三维模型进行自动融合，实现不同分辨率、不同类型数据的统一坐标、精准叠加与联动更新。在此基础上建设皂河站全景三维可视化展示平台，在统一的连续三维空间中集成三维实景场景、设备三维模型、实时运行数据，实现工程场景可视化浏览、设备状态可视化展示、运行数据动态刷新、异常工况预警、历史数据追溯、人机交互操作等功能。</w:t>
      </w:r>
      <w:r/>
    </w:p>
    <w:p>
      <w:pPr>
        <w:ind w:firstLine="482"/>
        <w:spacing w:line="36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板块四：智能应用系统开发</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在数据底座与可视化平台基础上，以大模型技术为智能引擎，以知识库为专业知识支撑，构建泵站智能体应用体系。建设智能监测、智能预警、智能评价、智能决策四大应用系统，实现泵站运行状态全域感知、异常态势超前预警、设备健康智能评估、运维决策辅助支持，推动泵站运维模式从人工经验主导向数据智能驱动转型升级。</w:t>
      </w:r>
      <w:r/>
    </w:p>
    <w:p>
      <w:pPr>
        <w:ind w:firstLine="482"/>
        <w:spacing w:line="360" w:lineRule="auto"/>
        <w:widowControl/>
        <w:rPr>
          <w:rFonts w:hint="eastAsia" w:ascii="宋体" w:hAnsi="宋体" w:eastAsia="宋体" w:cs="宋体"/>
          <w:b/>
          <w:sz w:val="24"/>
          <w:szCs w:val="24"/>
          <w:lang w:bidi="ar"/>
        </w:rPr>
      </w:pPr>
      <w:r>
        <w:rPr>
          <w:rFonts w:hint="eastAsia" w:ascii="宋体" w:hAnsi="宋体" w:eastAsia="宋体" w:cs="宋体"/>
          <w:b/>
          <w:sz w:val="24"/>
          <w:szCs w:val="24"/>
          <w:lang w:bidi="ar"/>
        </w:rPr>
        <w:t xml:space="preserve">板块五：监视设备部署</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在泵站电机层增设壁挂式LED综合监视大屏及立式触摸交互终端，作为可视化平台的现场展示载体，实现泵站运行状况的就地直观展示与人机交互操作。</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1.数据治理体系建设</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数据治理体系是本次项目的核心基础工程，旨在打通皂河站现有各业务系统之间的数据壁垒，构建统一、标准、规范的数据资源底座。主要包括多源异构数据汇聚接入、数据同步管道开发、数据清洗治理、运行数据库和业务数据库建设四项子内容。</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2.多源异构数据汇聚接入</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对皂河站现有的业务系统和数据源开展对接，把数据从各个系统里取出来。各系统对接要求如下：</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（1）</w:t>
      </w:r>
      <w:r>
        <w:rPr>
          <w:rFonts w:hint="eastAsia" w:ascii="宋体" w:hAnsi="宋体" w:eastAsia="宋体" w:cs="宋体"/>
          <w:bCs/>
          <w:sz w:val="24"/>
          <w:szCs w:val="24"/>
          <w:lang w:bidi="ar"/>
        </w:rPr>
        <w:t xml:space="preserve">自动化监控系统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接入自动化监控系统内的全部运行数据，采集频率不低于2秒/次，支持实时读取和历史数据导出。</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（2）</w:t>
      </w:r>
      <w:r>
        <w:rPr>
          <w:rFonts w:hint="eastAsia" w:ascii="宋体" w:hAnsi="宋体" w:eastAsia="宋体" w:cs="宋体"/>
          <w:bCs/>
          <w:sz w:val="24"/>
          <w:szCs w:val="24"/>
          <w:lang w:bidi="ar"/>
        </w:rPr>
        <w:t xml:space="preserve">绝缘监测系统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接入绝缘监测装置的全部监测数据，采集频率不低于1分钟/次，支持历史趋势数据查询。</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（3）</w:t>
      </w:r>
      <w:r>
        <w:rPr>
          <w:rFonts w:hint="eastAsia" w:ascii="宋体" w:hAnsi="宋体" w:eastAsia="宋体" w:cs="宋体"/>
          <w:bCs/>
          <w:sz w:val="24"/>
          <w:szCs w:val="24"/>
          <w:lang w:bidi="ar"/>
        </w:rPr>
        <w:t xml:space="preserve">振动监测系统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接入振动监测系统的全部监测数据，采集频率不低于1秒/次。</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（4）</w:t>
      </w:r>
      <w:r>
        <w:rPr>
          <w:rFonts w:hint="eastAsia" w:ascii="宋体" w:hAnsi="宋体" w:eastAsia="宋体" w:cs="宋体"/>
          <w:bCs/>
          <w:sz w:val="24"/>
          <w:szCs w:val="24"/>
          <w:lang w:bidi="ar"/>
        </w:rPr>
        <w:t xml:space="preserve">声纹监测系统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接入声纹监测系统的全部监测数据，采集频率不低于1秒/次。</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（5）</w:t>
      </w:r>
      <w:r>
        <w:rPr>
          <w:rFonts w:hint="eastAsia" w:ascii="宋体" w:hAnsi="宋体" w:eastAsia="宋体" w:cs="宋体"/>
          <w:bCs/>
          <w:sz w:val="24"/>
          <w:szCs w:val="24"/>
          <w:lang w:bidi="ar"/>
        </w:rPr>
        <w:t xml:space="preserve">视频监视系统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皂河站现有视频监控系统分布在多台硬盘录像机中，需先对全站视频监控资源进行统一规整，梳理各硬盘录像机中的摄像头清单、统一视频流地址格式、建立摄像头点位与空间位置的对应关系，确保可通过统一接口或平台调取任意摄像头的实时画面和历史录像。</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接入全站视频监视画面，点位覆盖主厂房机组区域、电机层、高压室、低压室、中控室、站区出入口、河道上下游等关键区域。实现视频实时预览、录像回放、截图等功能。</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对接视频监测及AI巡检联动系统，实现监测预警与视频信息联动、操作过程与视频信息联动、视频巡检报警与监测数据分析联动等功能。</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（6）</w:t>
      </w:r>
      <w:r>
        <w:rPr>
          <w:rFonts w:hint="eastAsia" w:ascii="宋体" w:hAnsi="宋体" w:eastAsia="宋体" w:cs="宋体"/>
          <w:bCs/>
          <w:sz w:val="24"/>
          <w:szCs w:val="24"/>
          <w:lang w:bidi="ar"/>
        </w:rPr>
        <w:t xml:space="preserve">水工建筑物安全监测系统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接入水工建筑物安全监测系统的全部监测数据，常态下采集频率不低于1次/天，汛期自动加密至不低于1次/小时。支持自动读取和人工录入两种方式。</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（7）</w:t>
      </w:r>
      <w:r>
        <w:rPr>
          <w:rFonts w:hint="eastAsia" w:ascii="宋体" w:hAnsi="宋体" w:eastAsia="宋体" w:cs="宋体"/>
          <w:bCs/>
          <w:sz w:val="24"/>
          <w:szCs w:val="24"/>
          <w:lang w:bidi="ar"/>
        </w:rPr>
        <w:t xml:space="preserve">GIS系统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接入110Kv变电所GIS在线监测系统的全部监测数据，采集频率不低于2秒/次。</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（8）</w:t>
      </w:r>
      <w:r>
        <w:rPr>
          <w:rFonts w:hint="eastAsia" w:ascii="宋体" w:hAnsi="宋体" w:eastAsia="宋体" w:cs="宋体"/>
          <w:bCs/>
          <w:sz w:val="24"/>
          <w:szCs w:val="24"/>
          <w:lang w:bidi="ar"/>
        </w:rPr>
        <w:t xml:space="preserve">高低压开关柜</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接入高压开关柜（10kV）和低压开关柜（0.4kV）的全部运行数据，采集频率不低于10秒/次。</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（9）</w:t>
      </w:r>
      <w:r>
        <w:rPr>
          <w:rFonts w:hint="eastAsia" w:ascii="宋体" w:hAnsi="宋体" w:eastAsia="宋体" w:cs="宋体"/>
          <w:bCs/>
          <w:sz w:val="24"/>
          <w:szCs w:val="24"/>
          <w:lang w:bidi="ar"/>
        </w:rPr>
        <w:t xml:space="preserve">辅机控制系统</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接入辅机控制系统的全部运行数据，采集频率不低于1秒/次。</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（10）</w:t>
      </w:r>
      <w:r>
        <w:rPr>
          <w:rFonts w:hint="eastAsia" w:ascii="宋体" w:hAnsi="宋体" w:eastAsia="宋体" w:cs="宋体"/>
          <w:bCs/>
          <w:sz w:val="24"/>
          <w:szCs w:val="24"/>
          <w:lang w:bidi="ar"/>
        </w:rPr>
        <w:t xml:space="preserve">无人船水下地形高程数据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现有无人船（单波束）的常态化监测数据，包括水下高程点位、地形起伏、淤积厚度等，采样间隔优于1m。按测绘频次批量导入，支持通用数据格式的文件上传。需将数据与工程坐标体系匹配对齐，并基于无人船扫描数据生成实时三维水下地形模型，在可视化平台中与三维场景融合展示。</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（11）</w:t>
      </w:r>
      <w:r>
        <w:rPr>
          <w:rFonts w:hint="eastAsia" w:ascii="宋体" w:hAnsi="宋体" w:eastAsia="宋体" w:cs="宋体"/>
          <w:bCs/>
          <w:sz w:val="24"/>
          <w:szCs w:val="24"/>
          <w:lang w:bidi="ar"/>
        </w:rPr>
        <w:t xml:space="preserve">视频AI识别数据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接入视频AI识别结果，包括水草识别、水泵积水识别、设备渗漏识别、设备异常识别、重点区域人员入侵识别等结果。采集频率不低于1分钟/次。</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（12）</w:t>
      </w:r>
      <w:r>
        <w:rPr>
          <w:rFonts w:hint="eastAsia" w:ascii="宋体" w:hAnsi="宋体" w:eastAsia="宋体" w:cs="宋体"/>
          <w:bCs/>
          <w:sz w:val="24"/>
          <w:szCs w:val="24"/>
          <w:lang w:bidi="ar"/>
        </w:rPr>
        <w:t xml:space="preserve">地理信息数据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收集整理工程地理信息数据，包括地形地貌矢量数据、区域边界、坐标高程、监测点位坐标等。支持通用格式批量导入，完成坐标统一。</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3.数据传输</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实现各系统数据到平台中心的稳定传输，具体要求如下：</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（1）</w:t>
      </w:r>
      <w:r>
        <w:rPr>
          <w:rFonts w:hint="eastAsia" w:ascii="宋体" w:hAnsi="宋体" w:eastAsia="宋体" w:cs="宋体"/>
          <w:bCs/>
          <w:sz w:val="24"/>
          <w:szCs w:val="24"/>
          <w:lang w:bidi="ar"/>
        </w:rPr>
        <w:t xml:space="preserve">传输能力：支持多个数据源同时传输，整体处理能力不低于1000条/秒。</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（2）</w:t>
      </w:r>
      <w:r>
        <w:rPr>
          <w:rFonts w:hint="eastAsia" w:ascii="宋体" w:hAnsi="宋体" w:eastAsia="宋体" w:cs="宋体"/>
          <w:bCs/>
          <w:sz w:val="24"/>
          <w:szCs w:val="24"/>
          <w:lang w:bidi="ar"/>
        </w:rPr>
        <w:t xml:space="preserve">协议适配：能够适配各系统不同的通信协议和接口方式。</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（3）</w:t>
      </w:r>
      <w:r>
        <w:rPr>
          <w:rFonts w:hint="eastAsia" w:ascii="宋体" w:hAnsi="宋体" w:eastAsia="宋体" w:cs="宋体"/>
          <w:bCs/>
          <w:sz w:val="24"/>
          <w:szCs w:val="24"/>
          <w:lang w:bidi="ar"/>
        </w:rPr>
        <w:t xml:space="preserve">传输模式：支持三种方式：实时传输（数据变更后毫秒级推送）、定时传输（按设定周期采集）、批量导入（通过Excel/CSV等文件批量导入历史数据）。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（4）</w:t>
      </w:r>
      <w:r>
        <w:rPr>
          <w:rFonts w:hint="eastAsia" w:ascii="宋体" w:hAnsi="宋体" w:eastAsia="宋体" w:cs="宋体"/>
          <w:bCs/>
          <w:sz w:val="24"/>
          <w:szCs w:val="24"/>
          <w:lang w:bidi="ar"/>
        </w:rPr>
        <w:t xml:space="preserve">断点续传：对于支持历史数据补采的系统，网络中断恢复后自动补传中断期间的数据，确保数据不丢失。</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（5）</w:t>
      </w:r>
      <w:r>
        <w:rPr>
          <w:rFonts w:hint="eastAsia" w:ascii="宋体" w:hAnsi="宋体" w:eastAsia="宋体" w:cs="宋体"/>
          <w:bCs/>
          <w:sz w:val="24"/>
          <w:szCs w:val="24"/>
          <w:lang w:bidi="ar"/>
        </w:rPr>
        <w:t xml:space="preserve">流量控制：可按数据源和数据类型限制传输流量和采集频率，避免数据拥堵。</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（6）</w:t>
      </w:r>
      <w:r>
        <w:rPr>
          <w:rFonts w:hint="eastAsia" w:ascii="宋体" w:hAnsi="宋体" w:eastAsia="宋体" w:cs="宋体"/>
          <w:bCs/>
          <w:sz w:val="24"/>
          <w:szCs w:val="24"/>
          <w:lang w:bidi="ar"/>
        </w:rPr>
        <w:t xml:space="preserve">运行监控：提供传输监控界面，实时查看各数据源的传输状态、数据量、异常告警等信息。</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（7）</w:t>
      </w:r>
      <w:r>
        <w:rPr>
          <w:rFonts w:hint="eastAsia" w:ascii="宋体" w:hAnsi="宋体" w:eastAsia="宋体" w:cs="宋体"/>
          <w:bCs/>
          <w:sz w:val="24"/>
          <w:szCs w:val="24"/>
          <w:lang w:bidi="ar"/>
        </w:rPr>
        <w:t xml:space="preserve">扩展性：后续新增数据源时，通过配置即可接入。</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4.数据清洗治理</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对汇聚后的原始数据开展全流程自动化清洗治理，确保数据质量满足后续应用需求。具体要求如下：</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（1）</w:t>
      </w:r>
      <w:r>
        <w:rPr>
          <w:rFonts w:hint="eastAsia" w:ascii="宋体" w:hAnsi="宋体" w:eastAsia="宋体" w:cs="宋体"/>
          <w:bCs/>
          <w:sz w:val="24"/>
          <w:szCs w:val="24"/>
          <w:lang w:bidi="ar"/>
        </w:rPr>
        <w:t xml:space="preserve">数据清洗：自动识别并处理以下五类数据问题：</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①缺失数据：轻度缺失采用插值补全，重度缺失标记为无效数据并记录日志；</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②重复数据：基于“设备ID+时间戳”唯一标识自动去重，保留最新有效数据；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③异常数据：通过阈值校验（如温度超限、电流突变等）识别异常值，轻度异常修正、重度异常剔除并生成告警记录；</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④格式错误：自动统一时间格式、数值精度、字符编码；</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⑤无效数据：自动剔除乱码数据、空数据、设备故障产生的无意义数据。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⑥清洗规则动态可调：清洗规则支持根据实际运行情况灵活新增、修改或停用，无需重新开发即可适配新的数据问题类型。</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（2）</w:t>
      </w:r>
      <w:r>
        <w:rPr>
          <w:rFonts w:hint="eastAsia" w:ascii="宋体" w:hAnsi="宋体" w:eastAsia="宋体" w:cs="宋体"/>
          <w:bCs/>
          <w:sz w:val="24"/>
          <w:szCs w:val="24"/>
          <w:lang w:bidi="ar"/>
        </w:rPr>
        <w:t xml:space="preserve">数据转换：统一各系统异构数据格式：</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①统一各系统设备编码规则，建立编码映射对照表；</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②统一监测指标名称、单位、精度（如温度统一为℃、压力统一为MPa、水位统一为m）；</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③统一时间格式；</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④将非结构化数据转为结构化数据。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（3）数据质量管控：建立数据质量常态化管控机制：</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①完整性：确保必填监测字段无缺失；</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②准确性：监测数据真实反映设备工况，误差在允许范围内；</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③一致性：同源数据在不同展示终端保持一致；</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④时效性：实时数据延迟不超过30秒；</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⑤唯一性：数据标识唯一、无重复。</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（4）数据治理规范建设：为确保后续数据使用和维护的便利性，需建立以下规范：</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①编制数据字典：列出所有接入数据的字段名称、数据类型、单位、编码规则和取值范围，形成统一的参考文档，便于开发人员和使用人员查阅。</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②记录数据来源：每条数据记录其来源系统、采集时间和处理历史，当数据出现异常时可追溯到问题环节。</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③统一编码规则：对所有设备、测点和监测指标建立统一的编码体系，避免各系统编码冲突。</w:t>
      </w:r>
      <w:r/>
    </w:p>
    <w:p>
      <w:pPr>
        <w:ind w:firstLine="480"/>
        <w:spacing w:line="360" w:lineRule="auto"/>
        <w:widowControl/>
        <w:rPr>
          <w:rFonts w:hint="eastAsia" w:ascii="宋体" w:hAnsi="宋体" w:eastAsia="宋体" w:cs="宋体"/>
          <w:bCs/>
          <w:sz w:val="24"/>
          <w:szCs w:val="24"/>
          <w:lang w:bidi="ar"/>
        </w:rPr>
      </w:pPr>
      <w:r>
        <w:rPr>
          <w:rFonts w:hint="eastAsia" w:ascii="宋体" w:hAnsi="宋体" w:cs="宋体"/>
          <w:bCs/>
          <w:sz w:val="24"/>
          <w:szCs w:val="24"/>
          <w:lang w:eastAsia="zh-CN" w:bidi="ar"/>
        </w:rPr>
        <w:t xml:space="preserve">（5）</w:t>
      </w:r>
      <w:r>
        <w:rPr>
          <w:rFonts w:hint="eastAsia" w:ascii="宋体" w:hAnsi="宋体" w:eastAsia="宋体" w:cs="宋体"/>
          <w:bCs/>
          <w:sz w:val="24"/>
          <w:szCs w:val="24"/>
          <w:lang w:bidi="ar"/>
        </w:rPr>
        <w:t xml:space="preserve">数据共享服务：</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建设标准化数据共享服务平台，提供以下共享模式：</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①接口共享：通过标准化接口提供实时数据查询、增量数据获取、全量数据导出服务；</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②数据库直连共享：为授权系统开放只读数据库访问权限，支持批量数据查询与同步；</w:t>
      </w:r>
      <w:r/>
    </w:p>
    <w:p>
      <w:pPr>
        <w:pStyle w:val="812"/>
        <w:ind w:left="480" w:firstLine="0"/>
        <w:spacing w:line="360" w:lineRule="auto"/>
        <w:rPr>
          <w:rFonts w:hint="eastAsia" w:ascii="宋体" w:hAnsi="宋体" w:eastAsia="宋体" w:cs="宋体"/>
          <w:b w:val="0"/>
          <w:bCs w:val="0"/>
          <w:color w:val="auto"/>
          <w:sz w:val="24"/>
          <w:szCs w:val="24"/>
          <w:lang w:bidi="ar"/>
        </w:rPr>
      </w:pPr>
      <w:r>
        <w:rPr>
          <w:rFonts w:hint="eastAsia" w:ascii="宋体" w:hAnsi="宋体" w:eastAsia="宋体" w:cs="宋体"/>
          <w:b w:val="0"/>
          <w:bCs w:val="0"/>
          <w:color w:val="auto"/>
          <w:sz w:val="24"/>
          <w:szCs w:val="24"/>
          <w:lang w:bidi="ar"/>
        </w:rPr>
        <w:t xml:space="preserve">③文件共享：支持监测视频、图片、数据报表等文件的存储、授权下载和在线预览；</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④可视化数据推送：自动汇总监测统计数据，通过可视化报表形式定时推送至指定终端。</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5.数据库建设</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建设运行数据库和业务数据库两个数据库，构建全站统一的数据存储体系。建库前先完成数据整理工作，对各类数据资源进行初始化梳理，明确每类数据的范围、精度要求、更新频率和用途。</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各数据库具体要求如下：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cs="宋体"/>
          <w:sz w:val="24"/>
          <w:szCs w:val="24"/>
          <w:lang w:eastAsia="zh-CN" w:bidi="ar"/>
        </w:rPr>
        <w:t xml:space="preserve">（1）</w:t>
      </w:r>
      <w:r>
        <w:rPr>
          <w:rFonts w:hint="eastAsia" w:ascii="宋体" w:hAnsi="宋体" w:eastAsia="宋体" w:cs="宋体"/>
          <w:sz w:val="24"/>
          <w:szCs w:val="24"/>
          <w:lang w:bidi="ar"/>
        </w:rPr>
        <w:t xml:space="preserve">运行数据库</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存放皂河站的基础静态信息和动态监测数据，包括：站区地理信息、建筑物及设备台账、监测点位信息、人员信息、编码标准、工程设计资料，以及机组运行参数、绝缘数据、振动数据、声纹数据、GIS设备数据、开关柜数据、辅机数据、建筑物安全监测数据、AI识别结果、调度指令、运行记录等。存储年限不低于20年，存储容量应支持通过增加硬盘等方式快速扩展。</w:t>
      </w:r>
      <w:r/>
    </w:p>
    <w:p>
      <w:pPr>
        <w:ind w:firstLine="480"/>
        <w:spacing w:after="120" w:line="360" w:lineRule="auto"/>
        <w:widowControl/>
        <w:rPr>
          <w:rFonts w:hint="eastAsia" w:ascii="宋体" w:hAnsi="宋体" w:eastAsia="宋体" w:cs="宋体"/>
          <w:sz w:val="24"/>
          <w:szCs w:val="24"/>
          <w:lang w:bidi="ar"/>
        </w:rPr>
      </w:pPr>
      <w:r>
        <w:rPr>
          <w:rFonts w:hint="eastAsia" w:ascii="宋体" w:hAnsi="宋体" w:cs="宋体"/>
          <w:sz w:val="24"/>
          <w:szCs w:val="24"/>
          <w:lang w:eastAsia="zh-CN" w:bidi="ar"/>
        </w:rPr>
        <w:t xml:space="preserve">（2）</w:t>
      </w:r>
      <w:r>
        <w:rPr>
          <w:rFonts w:hint="eastAsia" w:ascii="宋体" w:hAnsi="宋体" w:eastAsia="宋体" w:cs="宋体"/>
          <w:sz w:val="24"/>
          <w:szCs w:val="24"/>
          <w:lang w:bidi="ar"/>
        </w:rPr>
        <w:t xml:space="preserve">业务数据库</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存放泵站运维管理过程中产生的业务数据，包括：预警事件的处理流程记录、设备巡检记录、维修保养记录、隐患整改记录等。实现与运行数据库的数据关联，做到“监测发现问题→推送预警→处理问题→记录归档”的闭环管理。</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6.三维场景构建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三维场景构建主要包括倾斜摄影实景数据采集与处理、已有模型对接集成、辅机设备补充建模、水工建筑物建模四项子内容。模型精度按照行业LOD（Levels of Detail）分级标准执行，水工建筑物及配套设施模型精度不低于LOD3.0，主机组等核心机电设备模型精度不低于LOD4.0。</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7.倾斜摄影实景数据采集与处理</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采用无人机倾斜摄影技术，对皂河枢纽及周边区域开展全方位实景影像数据采集与精细化处理。</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采集范围：皂河枢纽核心区（泵站主体、进出水渠道、上下游翼墙等），倾斜摄影建模范围约0.56平方公里（核心区），工程影响区整体覆盖范围约4平方公里（含工程管理区及工程影响区），覆盖枢纽管理区范围内的地形地貌、河道水域、建筑物及配套设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（2）精度要求：工程管理区影像地面分辨率优于2厘米（利用已有成果），模型精度优于10厘米；工程影响区影像地面分辨率优于5厘米，模型精度优于20厘米。</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（3）坐标基准：采用2000国家大地坐标系（CGCS2000）和1985国家高程基准。</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（4）数据处理：对原始影像进行拼接、校正、纹理修复、去噪等处理，生成以下成果：</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①实景三维模型（OSGB格式），模型应纹理清晰、几何结构准确；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②数字正射影像图（DOM），分辨率不低于5厘米；</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③数字高程模型（DEM），格网间距不大于0.5米。</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（5）质量要求：平面位置中误差不超过10厘米，高程中误差不超过15厘米，相邻模型接边不应出现漏洞，纹理过渡自然。</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8.已有模型对接集成</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皂河站已有数字孪生项目建设成果，主机组（主水泵、主电机）等核心机电设备已具备高精度（建模到零部件级别）三维模型。本项目需对已有模型进行对接复用，并进行轻量化处理（网格减面、纹理压缩等），确保在普通办公电脑和展示大屏上流畅加载。</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9.辅机设备补充建模</w:t>
      </w:r>
      <w:r/>
    </w:p>
    <w:p>
      <w:pPr>
        <w:ind w:firstLine="420"/>
        <w:spacing w:line="360" w:lineRule="auto"/>
        <w:widowControl/>
        <w:rPr>
          <w:rFonts w:hint="eastAsia" w:ascii="宋体" w:hAnsi="宋体" w:eastAsia="宋体" w:cs="宋体"/>
          <w:bCs/>
          <w:szCs w:val="21"/>
          <w:lang w:bidi="ar"/>
        </w:rPr>
      </w:pPr>
      <w:r>
        <w:rPr>
          <w:rFonts w:hint="eastAsia" w:ascii="宋体" w:hAnsi="宋体" w:eastAsia="宋体" w:cs="宋体"/>
          <w:bCs/>
          <w:szCs w:val="21"/>
          <w:lang w:bidi="ar"/>
        </w:rPr>
        <w:t xml:space="preserve">对皂河站尚未建模的辅机设备开展三维建模，实现全站设备模型全覆盖。具体要求如下：</w:t>
      </w:r>
      <w:r/>
    </w:p>
    <w:p>
      <w:pPr>
        <w:ind w:firstLine="420"/>
        <w:spacing w:line="360" w:lineRule="auto"/>
        <w:widowControl/>
        <w:rPr>
          <w:rFonts w:hint="eastAsia" w:ascii="宋体" w:hAnsi="宋体" w:eastAsia="宋体" w:cs="宋体"/>
          <w:bCs/>
          <w:szCs w:val="21"/>
          <w:lang w:bidi="ar"/>
        </w:rPr>
      </w:pPr>
      <w:r>
        <w:rPr>
          <w:rFonts w:hint="eastAsia" w:ascii="宋体" w:hAnsi="宋体" w:eastAsia="宋体" w:cs="宋体"/>
          <w:bCs/>
          <w:szCs w:val="21"/>
          <w:lang w:bidi="ar"/>
        </w:rPr>
        <w:t xml:space="preserve">（1）建模范围：包括但不限于以下辅机设备：</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①空压机、储气罐、储能罐、回油箱及配套设备；</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②液压减载装置；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③辅机智能动力柜；</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④通风管路；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⑤高低压开关柜；</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⑥励磁柜、直流屏等控制柜体；</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⑦空冷器及配套水系统设备（水泵、管路、阀门等）；</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⑧上下游闸门启闭设备：包括启闭机房（上游，液压式启闭机）、引水闸（下游，卷扬式启闭机）、穿邳洪河地涵（螺杆式启闭机）的闸门及启闭设备，含工作闸门、检修闸门、门槽、埋件等金属结构，模型精度达到LOD4.0且具备可动化演示条件；</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⑨清污机、拦污栅。</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（2）建模精度：模型精度要求达到能够准确表达设备外观构造、安装位置、装配关系及核心尺寸的水平，无需拆解到内部零部件。</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（3）模型属性：每个模型应包含以下信息：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①设备基本信息：设备名称、型号、规格、生产厂家、出厂编号；</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②技术参数：额定功率、额定电压、额定电流、工作压力、流量等核心参数；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③安装信息：安装位置、安装日期、关联系统。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（4）模型轻量化：所有模型完成后需进行轻量化处理，确保在普通办公电脑的网页浏览器中可流畅加载与渲染。</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（5）模型交付：最终成果应同时包含模型原始文件及轻量化格式数据，便于后期修改及更新。</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10.水工建筑物建模</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对皂河站水工建筑物及配套附属建筑物开展精细化三维建模，满足可视化平台“进入室内”视角的展示需求。具体要求如下：</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（1）建模范围：</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①外部建筑结构：泵站主体站身、前池、出水池、上下游翼墙、护坡、副厂房（配电建筑）等水工建筑物，以及启闭机房（上游，液压式启闭机室）、引水闸（下游，卷扬式启闭机室）、穿邳洪河地涵（闸室，螺杆式启闭机室）、交通桥、工作桥、变电所（建筑外观）等配套及附属建筑物，模型精度不低于LOD3.0；</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②管理区范围内其他重要建筑物或标志性建筑物（含上下游水文亭、安全监测装置设施结构等），完成建筑外观建模，模型精度不低于LOD3.0；</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③内部空间结构：电机层各设备室内部空间（高压室、低压室、励磁变室、直流室、中控室等）、联轴层各区域（辅机设备布置区、廊道、渗漏排水系统区域等）、内部公用设施（楼梯、通道、管廊、电缆桥架等）、室内围护结构（墙面、地面、天花及柱、梁等建筑结构），满足可视化平台“进入室内”视角的展示需求。</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（2）建模精度：外部建筑结构应准确表达建筑物外观形态、空间尺度及构件装配关系；内部空间应满足室内漫游场景的视觉连贯性要求。</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（3）模型关联：室内各区域模型需与对应位置的已建设备模型（主机组、辅机设备等）在三维场景中精准对位，确保建筑结构与设备模型无缝衔接（空间组合与坐标对齐由后续多源数据融合板块统一处理）。</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（4）模型轻量化：所有模型完成后需进行轻量化处理，确保在普通办公电脑的网页浏览器中可流畅加载与渲染。</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（5）模型交付：最终成果应同时包含模型原始文件及轻量化格式数据，便于后期修改及更新。</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11.可视化平台搭建</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可视化平台搭建主要包括多源数据融合和可视化展示平台建设两项内容。</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12.多源数据融合</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将板块一治理完成的数据与板块二建成的三维模型进行自动融合，实现统一坐标、精准叠加与联动更新。具体要求如下：</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（1）融合数据范围：倾斜摄影实景三维数据、设备三维模型、地理空间数据、实时监测数据、业务管理数据、视频监控点位数据。</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（2）坐标统一：将各类数据统一至CGCS2000坐标系和1985国家高程基准。</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（3）模型与实景融合：设备三维模型自动贴合倾斜摄影实景地表，修正悬空、错位问题。</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（4）多分辨率自适应：缩放场景时自动切换对应分辨率数据：宏观范围加载卫星影像，中观范围加载正射影像，微观范围加载高精度实景和精细模型。</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（5）数据与模型挂接：将实时监测数据和台账数据绑定至三维场景中对应的设备模型，点击设备可查看运行参数和档案信息。</w:t>
      </w:r>
      <w:r/>
    </w:p>
    <w:p>
      <w:pPr>
        <w:ind w:firstLine="480"/>
        <w:spacing w:line="360" w:lineRule="auto"/>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（6）视频点位挂接：将全站视频监控点位绑定至三维场景对应位置，点击可调取实时监控画面。</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13.可视化展示平台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建设皂河站全景三维可视化展示平台，构建一个完整的、可自由漫游的连续三维空间。用户可在场景中自由缩放、旋转、漫游，从枢纽全景视角逐步深入到各设备区域内部查看。平台通过目录树组织各预设视角，目录树分为电机层和联轴层两层结构，用户可通过目录树一键定位至任意区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平台预设以下视角：</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枢纽全景总览</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展示皂河枢纽整体三维全景场景。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展示内容：枢纽全域三维实景（含上下游河道、上下游闸门、清污机、拦污栅等水工设施三维模型及运行状态、管理区等）；各机组实时运行工况（运行/停机/检修状态）；水量统计（累计调水量、排涝量）；调度统计（运行时长、开机台数）；告警统计（当前告警数量及分类）。</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可操作功能：三维场景漫游（支持按指定路径自动飞行巡视）；设备运行状态通过三维模型上复刻的指示灯效果直接体现（指示灯与实际设备同步）；关键参数以悬浮标签实时显示；河道水流方向通过水面动态流动效果呈现；通过目录树快速定位至任意区域；支持360度旋转缩放查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电机层</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展示电机层的整体空间及内部各设备室。</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展示内容：主机组设备三维模型及实时运行参数（电流、电压、功率、温度等）；电机层各设备室分布。目录树下包含以下定位点，点击即可跳转至对应房间内部：</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高压室：进线开关柜、主机开关柜等设备三维模型，各设备实时运行数据（电流、电压、温度、开关状态等），设备告警统计信息；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低压室：站变、电源进线柜、辅机动力柜、低压照明柜等设备三维模型，各回路电流、电压、功率、电能消耗等运行数据，设备状态及告警信息；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励磁变室：励磁柜三维模型，励磁电流、励磁电压、励磁工况等实时数据，设备告警信息；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直流室：直流屏等设备三维模型，直流系统运行参数及状态，设备告警信息；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室外冷水机组（技术供水系统）：冷水机组及配套水泵的三维模型，水泵运行状态、压力、温度等运行参数，年运行记录及告警信息。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可操作功能：通过目录树在各设备室之间快速切换；点击机组设备查看详细运行数据、效率曲线、年运行记录；切换至联轴层视角查看下层辅机设备。</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联轴层</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展示联轴层内分散布置的各辅机设备。</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展示内容：空压机、储气罐、储能罐、回油箱、液压减载装置、空气围带、通风管路及配套水系统设备（水泵、管路、阀门等）等设备三维模型；各辅机设备实时运行状态及参数。渗漏排水系统展示廊道水位变化曲线、水泵启停状态及年运行记录。</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可操作功能：在连续空间内自由漫游查看各辅机设备；点击设备查看详细运行数据和档案信息；切换至电机层视角查看上层设备室。</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以上所有视角均支持以下通用功能：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目录树检索：通过树形目录快速定位至任意设备、区域或监测点；</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精准联动：从数据或告警信息出发，自动定位至三维场景中的对应位置；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告警联动：设备异常时自动高亮闪烁显示，点击可查看告警详情；</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健康状态展示：对接设备健康评价模块，在三维场景中展示各设备当前健康评价等级，可查看详细评价信息；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视频联动：三维场景中布置室内外各摄像头点位（含安防摄像头），点击点位图标或对应设备模型均可调取实时视频监控画面，实现三维场景与现场实况的联动查看；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设备动画展示：关键设备（如主机组叶轮、闸门启闭机等）的运行状态通过三维模型中的活动部件动画直接体现（如叶轮旋转、闸门升降等），动画与实际设备运行状态同步。</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平台还具备以下专项功能：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一键开机可视化：在三维场景中模拟展示机组从接收到开机指令到完成投运的全过程，场景中的设备模型按实际开机顺序依次动作（闸门开启、叶轮加速转动、水流动态变化），同时展示电流、电压、功率等参数的变化过程，支持回放查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正常开机投运可视化：在三维场景中回放实际开机过程的三维记录，展示各设备动作时序和参数变化曲线。</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主机组大修和故障处理可视化：大修过程在三维场景中模拟展示各操作步骤和拆解顺序；故障处理结合知识库以图文交互方式展示故障原因、定位方法和处理方案。</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主要设备投运停运可视化：在三维场景中模拟展示设备投运或停运过程中的动作顺序和参数变化，支持回放。</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运行状态展示：通过三维场景中的悬浮面板或侧边栏，集成展示水情（上下游水位、流量）、设备状态、工程安全等监测信息。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统计分析与报表：提供运行数据统计报表（日/月/年），以柱状图、折线图等图表方式直观展现，支持导出和打印。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值班与巡检信息展示：在平台界面中展示当前值班人员信息、巡查完成情况、巡查记录、工程观测数据、设备维修保养记录等。</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14.智能应用系统开发</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数据底座与可视化平台基础上，以大模型技术为智能引擎，以知识库为专业知识支撑，建设智能监测、智能预警、智能评价、智能决策四大应用系统，构建泵站智能体应用体系。各系统均以独立功能页面的形式呈现，各系统之间数据互通、业务联动，形成“采集感知→分析预警→评价研判→决策执行”的闭环业务链条。</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15.智能监测系统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数据统计分析页面：对全站各类监测数据进行集中展示、趋势分析和统计，帮助值班人员直观掌握设备运行状态和数据变化规律。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（1）页面布局说明：</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页面顶部为筛选条件区（选择设备、监测指标、时间范围），中部为图表展示区，图表下方为数据明细列表。所有图表支持鼠标悬停查看数据点具体数值、框选放大查看细节、一键还原至全貌视图。</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（2）页面功能：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①趋势分析：</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选择任意监测指标（如轴承温度、机组振动、主轴摆度、绝缘电阻、油气组分、局放信号、水位流量等）和对应设备（如1号、2号机组、主变、GIS等），设定时间范围（1小时/24小时/7天/30天/自定义起止时间），系统自动生成趋势曲线图。</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支持选择同时段多个同类指标（如多台机组的同一测点温度）或多类指标叠加，在同一坐标系中生成多条对比曲线，每条曲线用不同颜色区分，图例明确标注。</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曲线图上显示最大值、最小值标注线和预警阈值线（虚线标注），数值超过阈值时曲线对应段自动变色突出显示。时间轴支持拖拽缩放，鼠标滚轮可快速切换时间窗口跨度。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②参数关联分析：</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参数关联分析包含预关联分析成果展示与人工介入对比分析两个功能模块。</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预关联分析成果展示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基于泵站运行机理和历史运行数据，预先配置具有明确物理关联的参数配对组合（如机组负荷与轴承温度、上下游水位与流量、温度与绝缘电阻等）。系统通过统计分析方法对预设的各参数组合进行关联性计算，生成关联分析成果并以分析结论卡片和关联图表面板的形式在页面中展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预设参数组合：机组负荷与轴承温度、上下游水位与流量、温度与绝缘电阻等具有明确物理关联或经历史数据验证的参数配对，由运行管理部门根据泵站工况特征和维护需求提前确定并配置。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关联分析结论：以文字卡片形式展示各参数组合的关联分析结论（如“机组负荷与轴承温度呈显著正相关，相关系数0.87”）。</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关联分析图示：预生成各参数组合的散点图及拟合曲线、相关性热力图等图表，图表支持鼠标悬停查看数据点具体数值。</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更新机制：页面提供“重新计算”按钮，点击后基于当前数据重新计算各参数组合的相关系数并更新图表，适配设备工况变化或新接入数据的分析需求。已配置的参数配对关系保持不变，仅更新分析数值与图示。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人工介入对比分析</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供手动选择参数进行对比分析的交互面板。选择两个监测参数（如机组负荷与轴承振动、上下游水位与流量、温度与绝缘电阻等），分别指定对应的设备及时间范围（1小时/24小时/7天/30天/自定义起止时间），系统调取数据并生成散点图或双轴曲线图。散点图展示两个参数在时间序列中的分布关系，可观察是否存在正相关或负相关趋势；双轴曲线图将两个参数以左右两个纵轴分别展示，便于对比变化趋势的同步性。图表下方同步输出关联分析数据明细表格，包含各时间点的两个参数具体数值，支持一键导出为Excel文件。</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③统计报表：</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按日/月/年/自定义周期生成统计报表，报表内容包括所选监测指标在统计周期内的最大值、最小值、平均值、变化率（环比/同比）、超阈值时长等。</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统计结果以表格和柱状图/折线图两种形式同步展示。表格数据支持一键导出为Excel/CSV文件，图表支持截图保存。</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报表可按设备分组展示，例如同一报表中对比1号、2号机组同一指标的统计结果。</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④异常标记与回溯：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在趋势曲线图中，当某监测参数</w:t>
      </w:r>
      <w:r>
        <w:rPr>
          <w:rFonts w:hint="eastAsia" w:ascii="宋体" w:hAnsi="宋体" w:cs="宋体"/>
          <w:sz w:val="24"/>
          <w:szCs w:val="24"/>
          <w:lang w:eastAsia="zh-CN" w:bidi="ar"/>
        </w:rPr>
        <w:t xml:space="preserve">触发</w:t>
      </w:r>
      <w:r>
        <w:rPr>
          <w:rFonts w:hint="eastAsia" w:ascii="宋体" w:hAnsi="宋体" w:eastAsia="宋体" w:cs="宋体"/>
          <w:sz w:val="24"/>
          <w:szCs w:val="24"/>
          <w:lang w:bidi="ar"/>
        </w:rPr>
        <w:t xml:space="preserve">预警时，曲线对应时间段以特殊标记（如红色高亮区域或标记点）标注，鼠标悬停显示该次预警的触发时间、持续时长和峰值数值。</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点击异常标记点可弹出该次预警的简要信息卡片，包含设备名称、异常参数、数值、处置状态。点击“查看详情”可跳转至预警中心页面查看完整发展趋势及预警发布记录。</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16.智能预警系统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（1）预警中心页面</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集中展示全站各类预警记录，支持按设备、按预警类型、按时间范围、按处置状态等多种条件组合筛选查看。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①页面布局说明：</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页面顶部为筛选条件区（设备选择下拉框、预警类型多选、时间范围选择器、处置状态筛选按钮），中部为预警记录列表，右侧或底部为选中预警的详情面板。列表支持分页展示，默认按触发时间倒序排列。</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②页面功能：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1）预警记录列表：</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列表展示每条预警的触发时间、设备名称、预警类型（超阈值预警/趋势预警/AI识别预警等）、当前参数值（含超限值标注）、阈值、处置状态（待处置/处置中/已闭环），已处置和未处置的预警用不同颜色和图标标识。</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列表支持按设备、按预警类型、按时间段、按处置状态进行筛选，支持多条件组合筛选。页面顶部设统计卡片，分别显示</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待处置</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处置中</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已闭环</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三类预警的数量。</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列表内置搜索框，可在预警描述文本中搜索关键词，快速定位相关预警记录。</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2）预警详情：</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点击任意预警记录，右侧面板或弹出窗口展示该条预警的完整详情，包含以下内容：</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预警基本信息卡片：触发时间、设备名称、具体监测点位名称、预警类型、触发阈值、当前值与超限幅度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参数变化曲线：自动生成预警触发前后各1小时（可自定义前后时长）的参数变化曲线图，曲线标注预警触发时刻和阈值线</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预警描述文本：系统自动生成的文字说明（详见</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预警自动描述</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功能），说明异常情况和建议措施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同类历史案例：展示知识库中该设备同类预警的历史记录，列出历次发生时间、处理措施和处理结果，供值班人员参考</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详情页面底部设</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确认处置</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按钮，值班人员处置完成后点击，在弹出的输入框中填写处置措施描述，系统记录处置人和处置时间，该条预警状态变更为</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已闭环</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3）趋势预警：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触发预警条件包括（不限于）：超预警阈值（低于报警阈值）时、同一参数连续多个监测周期持续上升或下降时、同一设备同类多点监测数据同时趋向阈值发展时、同一设备同类（或多类）单点（或多点）监测数据较历史同工况数据偏差较大时等。</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系统自动将当前监测值与上一次同工况运行期间的数据进行对比，检测是否存在持续上升或持续下降的变化趋势。</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当参数连续多个监测周期呈单向变化（如轴承温度连续4小时持续上升、建筑物沉降连续3次测值增大）且变化幅度超过设定速率时，即使参数尚未超过阈值限值，系统也在参数即将超限前提前发出趋势预警。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趋势预警在预警列表成交注为“趋势预警”类型</w:t>
      </w:r>
      <w:r>
        <w:rPr>
          <w:rFonts w:hint="eastAsia" w:ascii="宋体" w:hAnsi="宋体" w:cs="宋体"/>
          <w:sz w:val="24"/>
          <w:szCs w:val="24"/>
          <w:lang w:eastAsia="zh-CN" w:bidi="ar"/>
        </w:rPr>
        <w:t xml:space="preserve">，在</w:t>
      </w:r>
      <w:r>
        <w:rPr>
          <w:rFonts w:hint="eastAsia" w:ascii="宋体" w:hAnsi="宋体" w:eastAsia="宋体" w:cs="宋体"/>
          <w:sz w:val="24"/>
          <w:szCs w:val="24"/>
          <w:lang w:bidi="ar"/>
        </w:rPr>
        <w:t xml:space="preserve">预警详情中展示趋势对比曲线，以不同颜色区分当前运行曲线和对比基准曲线。</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4）预警自动描述：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预警触发时，系统自动提取设备名称、异常参数、当前数值、阈值、变化趋势（上升/下降/波动）、变化速率等信息，结合知识库中该设备同类故障的历史记录，自动生成一段描述文本，说明异常情况和建议措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描述文本示例：“1号机组上导轴承温度当前值65℃，已超过60℃预警阈值。该温度在过去2小时内从58℃持续上升，上升速度较快。同类情况中多为冷却水流量不足导致，建议检查冷却水系统。”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描述文本展示在预警详情页面的</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预警描述</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区域，可直接复制使用。</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5）预警覆盖范围：</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机电设备预警：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主机组：覆盖绝缘电阻、轴承振动幅值、主轴摆度、定子绕组温度、轴瓦温度、电气参数（电流、电压、功率）、机组运行声纹等。</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辅机组：覆盖空压机工作压力、液压减载装置工况、空气围带压力与密封状态、排水泵启停状态和出水流量等。识别空载、过载、压力异常、启停频繁等问题。</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主变及GIS设备：覆盖变压器油气组分（油中溶解气体含量）、设备局放信号、壳体振动与声纹特征、铁芯接地电流、SF6气体微水含量和气体密度等。实现高压设备早期绝缘缺陷、局部放电、气体泄漏的精准预警。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高低压开关柜：覆盖运行电流、电压、触头温度、柜内局放、储能状态、分合闸状态等。对电气不平衡、触头高温、局放超标、开关异常等实现阈值预警与趋势预警。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建筑物安全预警：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覆盖垂直位移、水平位移、伸缩缝开合度、水下基础高程变化等监测指标。单次监测数据超限即时触发预警，连续多期监测数据呈同向变化（如多次沉降值持续增大、伸缩缝连续开合超限）时触发趋势预警。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AI视频识别预警：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对接视频AI识别结果，覆盖水草堆积识别、设备渗漏识别、设备异常状态识别（冒烟、异物等）。AI识别到异常时自动触发报警，生成预警记录并推送至平台弹窗和语音播报，同步保存异常时刻的视频截图和录像片段作为凭证。</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气象水文联动预警（预留）：</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页面预留气象水文联动预警的展示区域和接口，后续条件具备时对接区域气象预报系统和水文测报平台后启用，实现气象水文灾害前置预警。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6）预警模型设计器（预警规则可视化配置）：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提供拖拽式低代码建模工具，运维人员无需编写代码即可通过可视化流程图配置预警规则。页面布局如下：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页面顶部信息栏：展示当前模型的基本信息，包括模型名称、所属站点、关联设备及测点、执行间隔（如每3秒刷新计算），并提供运行、暂停、保存、复制、删除等操作控件。</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左侧组件库：以可拖拽组件列表的形式提供建模所需的三类基础组件：数据源组件（实时测点、历史数据、告警数据、开关量、模拟量等）、逻辑流组件（逻辑判断、分支、循环、触发开关等流程控制节点）、计算算子组件（均值、最大值、最小值、差值、阈值比较、滤波、累计、方差等数学运算模块）。</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中间画布区域（预警逻辑流程图）：用户从左侧组件库将所需组件拖拽至画布，通过连线拼接各节点构建完整的预警计算判定链路。支持串联多个计算算子对原始数据进行预处理（如差值计算、滤波去噪、均值平滑、延时防抖等），插入判断分支节点设定阈值比较逻辑，各分支链路最终指向结果输出节点（含告警等级、触发条件、推送规则及处置提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底部结果预览区：模型运行后在此区域实时展示当前测点的原始数值、计算中间值、当前预警等级及触发时间等指标，供配置人员实时验证规则有效性。</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17.预案预演页面</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提供调度运行、故障处置、防洪抢险、超标准运行等各类工况的预案管理与仿真预演功能，支持预演全过程记录与评估。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（1）页面布局说明：</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页面顶部为筛选条件区（预案类型选择、预演状态筛选），中部为预案预演主操作区（含预案列表和预演场景展示区），底部为预演结果与评估面板。</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（2）页面功能：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①预案数字化管理：</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提供预案的数字化录入、分类存储和版本管理功能。支持调度运行预案（调水方案、排涝方案、优化调度方案）、故障处置预案（高低压柜、变压器、直流系统、水泵、电机等关键设备故障）、防洪抢险预案（洪水应对、堤防抢险、人员疏散）、超标准运行预案（超流量、超水位等极端工况）等预案类型的在线管理。预案与预警联动，预警触发时系统自动匹配关联预案，推送对应的处置流程和操作步骤，值班人员可一键查看详情。</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②调度运行预演：</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在三维可视化场景中模拟各类调度工况，预演不同运行方案的效果。</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调水预演：基于供水预测（水源蓄水分析、需水预测）和方案推演（供需平衡、多情景模拟），对比不同调水方案的可行性，优化机组开机组合和运行时长。</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排涝预演：结合气象降雨预报和水文模型，模拟洪水演进过程和淹没范围，推演泵站及闸坝联合调度方案，评估排涝效果和洪水风险。三维场景中地形高程、建筑物位置及设备空间关系应真实反映泵站现场实际，确保洪水淹没范围模拟结果具备空间可信度。</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优化调度预演：以上下游水位、电网分时电价等实时数据为输入，基于水力模型和优化算法（动态规划/遗传算法等）自动枚举可行方案，按单位流量能耗排序输出Top3最优方案（含运行台数、叶片角度组合、预估能耗），支持人工干预调整参数后重新推演。</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③故障处置预演：</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三维场景中模拟关键设备故障，按标准化流程进行全流程处置预演。故障场景包括：高压柜绝缘击穿/断路器拒动、变压器过载/绕组短路、直流系统电压异常/接地故障、水泵叶轮堵塞/轴承损坏、电机过热/绝缘老化等。预演流程涵盖故障报告与确认、应急响应启动、现场处置（检修操作模拟）、故障排除与恢复、演练总结与评估。预演过程在三维场景中同步展示设备状态变化和操作步骤，处置完成后自动生成《故障处置预演总结报告》。</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④防洪抢险预演：</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洪水灾害场景下的应急抢险全流程。模拟气象暴雨预警发布后的应急响应启动、人员疏散与安置；模拟洪水冲击配电室、泵房等重点区域时的防洪封堵、排水抢险操作；模拟堤防险情时的加固作业、设备抢修与恢复、通讯中断等突发情况下的后勤保障。预演结束后自动生成《防洪抢险预演总结报告》，记录存在问题及改进建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⑤超标准运行预演：</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模拟极端工况下的设备运行能力和应急处置。设备运行能力测试：逐步增加流量至设计流量的120%，监测设备运行参数，评估超标准工况下的设备承载能力；模拟超标准水位运行，评估高水位差下的设备稳定性。应急处置能力测试：在超标准运行过程中模拟关键设备故障，测试运行人员的故障诊断、设备切换和备用设备启动能力。预演结果以三维可视化方式展示设备负载热力图、运行参数变化曲线，辅助完善应急预案。</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⑥预演管理与评估：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预演全过程记录与回放，支持事后复盘分析。预演报告自动生成，包含预演过程、运行数据、存在问题及改进建议。预演问题台账管理，跟踪改进措施的落实情况。</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18.智能分析评价系统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（1）设备健康总览页面：以卡片列表形式展示全站所有设备的当前健康等级，方便值班人员快速掌握全站设备健康状态。</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（2）页面布局说明：</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主体为设备健康卡片列表，每台设备一张卡片，卡片上展示设备名称、设备类型、健康等级（用颜色区分：绿色=健康、黄色=亚健康、橙色=需检修、红色=严重故障）、最近一次评分时间。顶部设筛选栏，可按设备类型（主机组/辅机/主变/GIS/开关柜/建筑物）和健康等级筛选。卡片支持按健康等级排序，异常设备置顶显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（3）页面功能：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①设备状态评价：</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系统综合每台设备的实时监测数据、近30天预警记录、累计运行时长、最近检修历史（最近一次检修时间和检修类型）、试验检测结果等信息，对主机组、辅机、主变、GIS、开关柜等所有设备逐一进行状态评分，输出健康等级（健康/亚健康/需检修/严重故障）。</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评价结果每日自动更新一次。各设备在列表成交注对应等级和评分分值。点击任意设备卡片可展开或跳转至详细评价页面，展示以下内容：</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评分构成明细：以雷达图或柱状图展示各维度（运行参数、预警记录、运行时长、检修历史）的得分情况。</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历史评分趋势：近30天或近6个月的评分变化曲线，观察设备健康状态是趋于平稳还是持续下降。</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主要扣分项：列出导致评分降低的主要因素（如“轴承温度偏高，近7天触发3次预警”“绝缘监测值偏低”“单台设备运行时长超检修维护周期”等）。</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建议措施：系统根据评价结果给出的维护建议（如</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建议安排停机检查冷却系统</w:t>
      </w:r>
      <w:r>
        <w:rPr>
          <w:rFonts w:hint="eastAsia" w:ascii="宋体" w:hAnsi="宋体" w:cs="宋体"/>
          <w:sz w:val="24"/>
          <w:szCs w:val="24"/>
          <w:lang w:eastAsia="zh-CN" w:bidi="ar"/>
        </w:rPr>
        <w:t xml:space="preserve">”</w:t>
      </w:r>
      <w:r>
        <w:rPr>
          <w:rFonts w:hint="eastAsia" w:ascii="宋体" w:hAnsi="宋体" w:eastAsia="宋体" w:cs="宋体"/>
          <w:sz w:val="24"/>
          <w:szCs w:val="24"/>
          <w:lang w:bidi="ar"/>
        </w:rPr>
        <w:t xml:space="preserve">）</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②建筑物安全评价：</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基于垂直位移、水平位移、伸缩缝开合度、上下游水位等长期监测数据，评估泵站厂房、进出水闸站等建筑物的结构稳定性，输出安全等级（安全/基本安全/需关注/危险）。对不具备自动在线监测功能的观测项目，支持数据导入，支持对导入的数据自动分析对比。</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日常每月（汛期每周）自动生成一次建筑物安全评价报告，以表格和趋势图综合展示各监测指标的变化情况、本期与上期的变化对比、异常点位列表、评价结论。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评价报告支持预览和导出为PDF/Word文件，可归档保存。</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19.智能决策系统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智能决策系统以大模型技术为智能引擎，以泵站专业知识库为支撑，构建绿色低碳运行智能体、设备全生命周期管理智能体、人机语音交互智能体等泵站智能体，实现数据驱动的智能分析与辅助决策。各智能体基于统一的数据底座和知识库协同运行，形成“感知采集→智能体运算→知识库支撑→决策输出”的智能决策闭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（1）绿色低碳运行智能体（预测调度方案推荐）：</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智能体以泵站高效节能、低碳运行为核心目标，融合实时水文工况、气象水文预报、历史运行台账、机组健康状态等多维数据，基于大模型综合分析，为值班人员提供调度运行建议作为决策参考。</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①预测式调度分析</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智能体接入气象降雨预报、上游来水预报、骆马湖水位预报等外部水文预测数据，对枢纽未来短期（24～72小时）工况进行趋势预测。在给定的运行模式（调水/排涝）下，自动分析并提出枢纽联合调度建议。</w:t>
      </w:r>
      <w:r/>
    </w:p>
    <w:p>
      <w:pPr>
        <w:ind w:firstLine="480"/>
        <w:spacing w:after="120" w:line="360" w:lineRule="auto"/>
        <w:widowControl/>
        <w:rPr>
          <w:rFonts w:hint="eastAsia" w:ascii="宋体" w:hAnsi="宋体" w:eastAsia="宋体" w:cs="宋体"/>
          <w:color w:val="auto"/>
          <w:sz w:val="24"/>
          <w:szCs w:val="24"/>
          <w:lang w:bidi="ar"/>
        </w:rPr>
      </w:pPr>
      <w:r>
        <w:rPr>
          <w:rFonts w:hint="eastAsia" w:ascii="宋体" w:hAnsi="宋体" w:eastAsia="宋体" w:cs="宋体"/>
          <w:sz w:val="24"/>
          <w:szCs w:val="24"/>
          <w:lang w:bidi="ar"/>
        </w:rPr>
        <w:t xml:space="preserve">调水工况：以南水北调/江水北调输水任务为导向，结合皂河闸的水位控制条件，预测骆马湖水位变化趋势及渠道过流能力，分析提出皂河站（一站+二站）的最优开机方案及机组运行时长分配建议；同时根据水量供需情况，对穿邳洪河地涵过流量、邳洪河北闸调控时机与开度、皂河闸</w:t>
      </w:r>
      <w:r>
        <w:rPr>
          <w:rFonts w:hint="eastAsia" w:ascii="宋体" w:hAnsi="宋体" w:eastAsia="宋体" w:cs="宋体"/>
          <w:color w:val="auto"/>
          <w:sz w:val="24"/>
          <w:szCs w:val="24"/>
          <w:lang w:bidi="ar"/>
        </w:rPr>
        <w:t xml:space="preserve">协调调度等提出参考建议。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color w:val="auto"/>
          <w:sz w:val="24"/>
          <w:szCs w:val="24"/>
          <w:lang w:bidi="ar"/>
        </w:rPr>
        <w:t xml:space="preserve">排涝工况：以黄墩湖地区防洪排涝安全为目标</w:t>
      </w:r>
      <w:r>
        <w:rPr>
          <w:rFonts w:hint="eastAsia" w:ascii="宋体" w:hAnsi="宋体" w:eastAsia="宋体" w:cs="宋体"/>
          <w:sz w:val="24"/>
          <w:szCs w:val="24"/>
          <w:lang w:bidi="ar"/>
        </w:rPr>
        <w:t xml:space="preserve">，根据降雨预报及邳洪河来水预测，分析提出皂河站抽排运行建议，并对邳洪河北闸开启时机与开度、穿邳洪河地涵过流分配、皂河闸配合调度等提出参考</w:t>
      </w:r>
      <w:r>
        <w:rPr>
          <w:rFonts w:hint="eastAsia" w:ascii="宋体" w:hAnsi="宋体" w:eastAsia="宋体" w:cs="宋体"/>
          <w:color w:val="auto"/>
          <w:sz w:val="24"/>
          <w:szCs w:val="24"/>
          <w:lang w:bidi="ar"/>
        </w:rPr>
        <w:t xml:space="preserve">建议（包括但不限于）。</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②调度建议展示与交互</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页面顶部展示当前实时水文工况（上下游水位、输水流量）及未来24小时水文预测趋势，值班人员可手动输入或确认当前输水流量要求。</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智能体自动计算并展示推荐运行方案，包含推荐开机台数、推荐机组编号及顺序、各机组预估运行时长、预估能耗，同时均衡分配各机组运行时长，避免单一机组长期满负荷高损耗运行。推荐方案以卡片形式醒目展示，同时在下方以表格对比当前运行方案与推荐方案在开机组合和预估能耗方面的差异，并标注与传统人工调度方案的节能差值。</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系统以列表形式展示建议操作步骤（如“步骤1：开启1号机组→步骤2：调整1号机组叶片角度→步骤3：开启邳洪河北闸至指定开度”），供值班人员及调度参考执行。值班人员也可在页面上手动调整开机方案，调整后系统自动重新计算能耗估算值。</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页面底部展示各机组的当前健康评分小卡片，方便值班人员在调整方案时参考各机组的实时健康状态。</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③节能成效管控</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智能体持续统计每日、每月机组单位水量用电量，自动识别高耗低效工况并发出调度优化预警，从源头降低泵站整体运行能耗。</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开发调水运行工况下上一梯级泵站开机时间、流量大小对站下水位影响的数据分析功能；骆马湖（站上）水位及库容对应变化关系分析功能；对调度流量、日调水量、大流量能耗、小流量能耗等分析功能。</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（2）设备全生命周期管理智能体（设备档案）：</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智能体对全站设备（主机组、辅机、主变、GIS、高低压开关柜、建筑物等）建立从投运、运行、养护到报废的全生命周期数字化档案，基于多维度数据（实时运行参数、预警历史、检修记录、试验检测报告等）对每台设备进行综合健康评价。评价结果划分为四个等级：健康（90～100分）、亚健康（70～89分）、需检修（40～69分）、严重故障（0~39分），评价结果每日自动更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页面左侧为设备类型树形列表，按“主机组→辅机→主变→GIS→高低压开关柜→建筑物”分类展开，点击任意设备名称后，右侧展示该设备的完整档案信息。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设备档案包含以下内容区块：</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基本信息区：设备名称、型号规格、生产厂家、出厂编号、投产日期、安装位置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运行统计区：累计运行时长、本月运行时长、本年度运行时长、累计启停次数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报警历史区：按时间倒序展示该设备的所有预警记录，含触发时间、预警类型、处置状态，点击可查看预警详情</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维修保养记录区：按时间倒序展示该设备的维修保养记录，含维修时间、维修类型（日常保养/故障维修/大修）、维修内容描述、维修单位或人员，历次故障处置记录全部归档留存</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当前健康评价区：展示该设备当前的健康等级和评分，点击“查看详情”可跳转至分析评价系统的详细评价页面，可查看评分构成明细、历史评分趋势和主要扣分项</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页面顶部设“导出报告”按钮，点击可将当前设备的完整档案信息导出为PDF文件，供存档或打印使用。</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（3）大模型知识库：</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以大模型技术为支撑，对泵站运行管理资料进行结构化整理和知识化归集，为各智能体提供专业知识支撑。知识库收录内容包括以下类别：设备运行规程和操作手册、日常运维及调度方案、应急预案和处置流程、历史故障案例及处理记录、行业技术规范及标准、设备检测试验报告、设备全生命周期台账。支持分类浏览和关键词搜索，可快速定位到所需资料查看详情。</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（4）人机语音交互智能体（语音交互）：</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全平台（可视化展示平台、各智能应用页面）集成语音交互功能。以大模型技术为支撑，支持从简单的数据查询到复杂的运维问题解答，值班人员通过麦克风说出查询指令，系统识别后自动执行对应操作，在页面中弹出文字结果的同时通过语音播报回复，形成双向语音交互闭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支持以下语音指令：</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实时数据查询：如“1号机定子绕组当前温度”“当前上下游水位”“目前泵站全站流量”等，系统播报当前数值</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设备状态查询：如“2号机组健康状态”“主变当前评价等级”，系统播报健康等级和评分</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预警查询：如“当前有哪些报警”“最近的预警记录”，系统播报未处置预警数量或最新预警信息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复杂问题解答：如“1号机组温度偏高可能是什么原因”，系统联动知识库给出解答和建议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当有新的预警发生时，系统自动通过语音播报提示，播报内容包含设备名称、异常类型和风险等级（如“注意：1号机组轴承温度超限，请及时查看”）。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语音交互入口在平台界面固定位置显示（如右下角麦克风图标），值班人员可一键开启或关闭语音功能，避免不必要的语音干扰。</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（5）多渠道报警提醒：</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当有预警事件发生时，报警信息通过以下三种方式同步推送，确保值班人员无论身处何处都能及时获知异常信息：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平台弹窗提醒：在可视化平台和所有智能应用页面的右上角弹出预警通知卡片，显示预警设备、预警类型、触发时间。点击卡片可跳转至预警中心查看详情。弹窗按预警严重程度使用不同颜色（一般提醒=蓝色，重要报警=橙色，紧急险情=红色）。</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语音播报提醒：通过值班室和现场的语音播报设备，自动语音播报预警信息（设备名称、异常类型、风险等级）。重要报警和紧急险情持续循环播报，直至值班人员确认处置。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可视化平台灯光提示：在可视化平台设备模型部署灯光提示，亚健康或一般提醒亮黄色灯光，故障预警或重要报警亮红色灯光并慢速闪烁，严重故障或紧急险情亮红色灯光并快速闪烁，现场人员可直观识别异常区域、设备，重点开展巡查。</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三种推送方式根据预警严重程度分级触发：一般提醒仅弹窗提醒加灯光提示；重要报警弹窗加语音播报加灯光；紧急险情三种方式同时推送并持续循环；三种提醒均需值班人员授权确认后信号复归。</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（6）视频辅助联动：</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对接视频AI分析项目提供的异常识别结果，接收到异常信息时（如水草堆积、设备渗漏等），系统自动执行以下联动操作：</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切换监控画面：自动将大屏或当前页面的监控窗口切换至异常识别区域的摄像头画面，展示实时视频流供值班人员查看</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联动设备启停：根据识别结果类型，自动下发控制指令联动相关设备启停，例如水草堆积联动清污机启动清污，设备渗漏联动排水泵启动排水</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动作确认反馈：设备联动执行后，系统通过AI视频画面自动识别设备动作状态（如清污机是否启动、排水泵是否运行），在页面中反馈“设备已启动”或“设备未响应”的状态提示</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当值班人员通过平台下发机组启停、闸门启闭、清污作业等操作指令时，系统自动将监控画面切换至操作区域的摄像头，实时展示设备动作过程。AI视觉识别判定操作到位后，页面弹出“操作完成”提示；若识别到设备未响应或动作异常，立即触发预警并提示值班人员核查。</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20.监视设备部署</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在泵站电机层增设壁挂式LED综合监视大屏及桌面配套显示终端，作为可视化平台的现场展示载体。具体要求如下：</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21.壁挂式LED综合监视大屏</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（1）安装位置：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泵站电机层低压配电室外完整实体墙面，处于机房人员通行、值班值守核心视线区域。</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（2）硬件规格：</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大屏含装饰外框整体规格不小于4.26m（长）×2.44m（高），有效净显示区域不小于4.16m（长）×2.34m（高）。屏幕点距1.538mm小间距高清方案，采用标准化无缝拼接工艺。配套专用钢结构壁挂承重支架、供电电源、信号接收控制卡、散热通风组件、防尘装饰边框及屏蔽信号传输线缆。</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（3）功能定位：</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24小时不间断轮巡展示智能泵站平台全景画面；</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分区实时展示上下游水位、机组瞬时流量、累计输水总量、机组运行负荷、轴承温度、振动、电机电流电压等关键运行指标；</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自动弹出设备超限、故障停机、水位越限等异常告警弹窗；</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无操作时段自动循环播放泵站运行日报、设备健康状况、值班巡查情况等汇总图表。</w:t>
      </w:r>
      <w:r/>
    </w:p>
    <w:p>
      <w:pPr>
        <w:ind w:firstLine="482"/>
        <w:spacing w:after="120"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22.立式触摸交互终端</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安装位置：泵站电机层值班操作区域或展示区域，便于参观人员操作和查看的位置。</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硬件规格：立式触摸一体机，屏幕支持触控操作，画面与壁挂LED大屏完全同步。设备</w:t>
      </w:r>
      <w:r>
        <w:rPr>
          <w:rFonts w:hint="eastAsia" w:ascii="宋体" w:hAnsi="宋体" w:cs="宋体"/>
          <w:sz w:val="24"/>
          <w:szCs w:val="24"/>
          <w:lang w:eastAsia="zh-CN" w:bidi="ar"/>
        </w:rPr>
        <w:t xml:space="preserve">须具备</w:t>
      </w:r>
      <w:r>
        <w:rPr>
          <w:rFonts w:hint="eastAsia" w:ascii="宋体" w:hAnsi="宋体" w:eastAsia="宋体" w:cs="宋体"/>
          <w:sz w:val="24"/>
          <w:szCs w:val="24"/>
          <w:lang w:bidi="ar"/>
        </w:rPr>
        <w:t xml:space="preserve">足够的图形处理性能，确保智能泵站平台的三维场景能够流畅渲染与交互操作，无卡顿。</w:t>
      </w:r>
      <w:r/>
    </w:p>
    <w:p>
      <w:pPr>
        <w:ind w:firstLine="480"/>
        <w:spacing w:after="120"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交互定位：与壁挂LED大屏共用同一套智能泵站平台画面，显示内容、数据信息完全同步。壁挂LED大屏用于远距离全域宏观展示，立式触摸终端供参观人员或值班人员在近处通过触摸操作进行视角切换、设备查看、数据调取等交互操作。</w:t>
      </w:r>
      <w:r/>
    </w:p>
    <w:p>
      <w:pPr>
        <w:ind w:firstLine="482"/>
        <w:spacing w:line="36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3.技术要求</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①泵站技术管理规程 GB/T 30948；</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②《信息安全技术 网络安全等级保护安全设计技术要求》 GB/T25070；</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③《水利水电工程安全监测设计规范》 SL 725；</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④《水利空间要素数据字典》SL 729；</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⑤《水利水电工程安全监测系统运行管理规范》SL/T 782；</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⑥《水利数据交换规约》SL/T 783；</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⑦《水利一张图空间信息服务规范》SL/T 801；</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⑧《水利网络安全保护技术规范》SL/T 803；</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⑨《水利对象基础数据库表结构及标识符》SL/T 809；</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⑩《数字孪生流域建设技术大纲（试行）》水信息〔2022〕147号；</w:t>
      </w:r>
      <w:r/>
    </w:p>
    <w:p>
      <w:pPr>
        <w:ind w:firstLine="480"/>
        <w:spacing w:after="120"/>
        <w:widowControl/>
        <w:rPr>
          <w:rFonts w:hint="eastAsia" w:ascii="宋体" w:hAnsi="宋体" w:eastAsia="宋体" w:cs="宋体"/>
          <w:sz w:val="24"/>
          <w:szCs w:val="24"/>
        </w:rPr>
      </w:pPr>
      <w:r>
        <w:rPr>
          <w:rFonts w:hint="eastAsia" w:ascii="宋体" w:hAnsi="宋体" w:eastAsia="宋体" w:cs="宋体"/>
          <w:sz w:val="24"/>
          <w:szCs w:val="24"/>
          <w:lang w:bidi="ar"/>
        </w:rPr>
        <w:t xml:space="preserve">⑪《数字孪生水利工程建设技术导则（试行）》水信息〔2022〕148号；</w:t>
      </w:r>
      <w:r/>
    </w:p>
    <w:p>
      <w:pPr>
        <w:ind w:firstLine="480"/>
        <w:spacing w:after="120"/>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⑫《水利业务“四预”基本技术要求》水信息〔2022〕149号。</w:t>
      </w:r>
      <w:r/>
    </w:p>
    <w:p>
      <w:pPr>
        <w:rPr>
          <w:rFonts w:hint="eastAsia" w:ascii="宋体" w:hAnsi="宋体" w:eastAsia="宋体" w:cs="宋体"/>
          <w:b/>
          <w:sz w:val="28"/>
          <w:szCs w:val="28"/>
        </w:rPr>
      </w:pPr>
      <w:r>
        <w:rPr>
          <w:rFonts w:hint="eastAsia" w:ascii="宋体" w:hAnsi="宋体" w:eastAsia="宋体" w:cs="宋体"/>
          <w:b/>
          <w:sz w:val="28"/>
          <w:szCs w:val="28"/>
        </w:rPr>
        <w:br w:type="page" w:clear="all"/>
      </w:r>
      <w:r/>
    </w:p>
    <w:p>
      <w:pPr>
        <w:ind w:firstLine="480"/>
        <w:spacing w:line="540" w:lineRule="exact"/>
        <w:rPr>
          <w:rFonts w:hint="eastAsia" w:ascii="宋体" w:hAnsi="宋体" w:eastAsia="宋体" w:cs="宋体"/>
          <w:b/>
          <w:bCs/>
          <w:sz w:val="28"/>
          <w:szCs w:val="28"/>
        </w:rPr>
      </w:pPr>
      <w:r>
        <w:rPr>
          <w:rFonts w:hint="eastAsia" w:ascii="宋体" w:hAnsi="宋体" w:eastAsia="宋体" w:cs="宋体"/>
          <w:b/>
          <w:bCs/>
          <w:sz w:val="28"/>
          <w:szCs w:val="28"/>
        </w:rPr>
        <w:t xml:space="preserve">分项目四：皂河站安全管理设施改造</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1.施工部位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皂河站工程管理范围。</w:t>
      </w:r>
      <w:r/>
    </w:p>
    <w:p>
      <w:pPr>
        <w:ind w:left="4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2.施工内容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泵站周界部署电子界桩，实现人员车辆等入侵感知。电子界桩通过内嵌的预警模块，实时监测振动加速度，倾斜角度，内置北斗/GPS定位，当倾斜角度以及受到振动时，将经纬度和倾斜角度通过网络上传至电子界桩主机实时预警监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安装基础采用混凝土基础，预埋地笼，预埋螺栓，待基础牢固后，界桩安装在预埋螺栓上。界桩上标明水利设施、严禁破坏、桩号、水利标志等内容。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电子界桩采用4G流量卡进行通信，信号传输至界桩管理平台，在管理平台上可调用各个界桩的视频等信号，并可进行喊话、告警等功能。</w:t>
      </w:r>
      <w:r/>
    </w:p>
    <w:p>
      <w:pPr>
        <w:numPr>
          <w:ilvl w:val="0"/>
          <w:numId w:val="5"/>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新增入侵检测与驱离系统，利用皂河站原有视频平台进行扩容，增加AI智能分析功能、针对人员、捕鱼、钓鱼、船只入侵等行为进行识别，同时增加高分贝驱离语音系统，与AI智能分析功能联动，实现发现即驱离。</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安装基础采用混凝土基础，预埋地笼，预埋螺栓，待基础牢固后，安装摄像机高杆，将入侵检测摄像机和高分贝语音驱离音柱安装于高杆上。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采用电缆与网线进行供电通信，信号传输至中控室内，与原有视频平台兼容适配。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视频监控系统中升级机组运行拾音功能，可实现对机组运行、开关柜室内、机坑内及变压器室内等设备的运行状态的音频监控，联合AI联动巡检项目达成发现故障后现场视频及音频同步提示，提升故障预警和远程诊断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完成所有设备安装、系统联调后，开展现场测试，复核电子界桩预警、AI识别、驱离联动、拾音功能。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3.技术要求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（1）电子界桩系统功能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①低功耗、持续录像的智能监控（AOV模式）：每2秒1帧录制，遇事件触发后极速唤醒进行正常录制、实现7*24小时全天候录像；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②多维感知：地理信息检测以及信息上传、温湿度检测、倾斜检测红外感应唤醒、北斗定位精确；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③智能警戒：人/车分类检测，智能监控报警；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④一体化太阳能：支持太阳能信息显示，包括电压/电量等信息；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⑤一键报警：支持现场一键报警，可直接呼叫平台中心并对讲，语音对讲未接通具备自动录像功能；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⑥按键录像查询：包含报警时间、报警类型、录像开始时间、结束时间，可进行录像回放；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⑦防破坏报警查询：包含报警时间、报警图片；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⑧支持倾斜监测报警查询：包含报警时间、实时角度</w:t>
      </w:r>
      <w:r>
        <w:rPr>
          <w:rFonts w:hint="eastAsia" w:ascii="宋体" w:hAnsi="宋体" w:cs="宋体"/>
          <w:sz w:val="24"/>
          <w:szCs w:val="24"/>
          <w:lang w:eastAsia="zh-CN"/>
        </w:rPr>
        <w:t xml:space="preserve">－</w:t>
      </w:r>
      <w:r>
        <w:rPr>
          <w:rFonts w:hint="eastAsia" w:ascii="宋体" w:hAnsi="宋体" w:eastAsia="宋体" w:cs="宋体"/>
          <w:sz w:val="24"/>
          <w:szCs w:val="24"/>
        </w:rPr>
        <w:t xml:space="preserve">俯仰角度、实时角度</w:t>
      </w:r>
      <w:r>
        <w:rPr>
          <w:rFonts w:hint="eastAsia" w:ascii="宋体" w:hAnsi="宋体" w:cs="宋体"/>
          <w:sz w:val="24"/>
          <w:szCs w:val="24"/>
          <w:lang w:eastAsia="zh-CN"/>
        </w:rPr>
        <w:t xml:space="preserve">－</w:t>
      </w:r>
      <w:r>
        <w:rPr>
          <w:rFonts w:hint="eastAsia" w:ascii="宋体" w:hAnsi="宋体" w:eastAsia="宋体" w:cs="宋体"/>
          <w:sz w:val="24"/>
          <w:szCs w:val="24"/>
        </w:rPr>
        <w:t xml:space="preserve">翻转角度、实时角度偏差</w:t>
      </w:r>
      <w:r>
        <w:rPr>
          <w:rFonts w:hint="eastAsia" w:ascii="宋体" w:hAnsi="宋体" w:cs="宋体"/>
          <w:sz w:val="24"/>
          <w:szCs w:val="24"/>
          <w:lang w:eastAsia="zh-CN"/>
        </w:rPr>
        <w:t xml:space="preserve">－</w:t>
      </w:r>
      <w:r>
        <w:rPr>
          <w:rFonts w:hint="eastAsia" w:ascii="宋体" w:hAnsi="宋体" w:eastAsia="宋体" w:cs="宋体"/>
          <w:sz w:val="24"/>
          <w:szCs w:val="24"/>
        </w:rPr>
        <w:t xml:space="preserve">俯仰角度、实时角度偏差</w:t>
      </w:r>
      <w:r>
        <w:rPr>
          <w:rFonts w:hint="eastAsia" w:ascii="宋体" w:hAnsi="宋体" w:cs="宋体"/>
          <w:sz w:val="24"/>
          <w:szCs w:val="24"/>
          <w:lang w:eastAsia="zh-CN"/>
        </w:rPr>
        <w:t xml:space="preserve">－</w:t>
      </w:r>
      <w:r>
        <w:rPr>
          <w:rFonts w:hint="eastAsia" w:ascii="宋体" w:hAnsi="宋体" w:eastAsia="宋体" w:cs="宋体"/>
          <w:sz w:val="24"/>
          <w:szCs w:val="24"/>
        </w:rPr>
        <w:t xml:space="preserve">翻转角度；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⑨支持移动侦测报警查询，包含报警时间、图片、检测目标；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⑩支持显示设备上报的经纬度；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⑪支持搜索电子界桩设备。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（2）界桩管理平台功能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①具备门户首页内容自定义能力，支持自定义快捷入口、自定义菜单内容、自定义页面元素设置；支持门户展示元素自定义，包括页面logo图标、修改网站标题、设置并添加网站外部链接；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②具备统一的认证、鉴权管理、应用管理、菜单管理、用户管理、角色管理、组织管理、资源管理等能力；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③具备用户权限管理能力，包括菜单权限、组织权限、区域权限、资源权限、功能控制权限；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④具备组织、区域、设备、人员、卡片、车辆等资源统一管理能力；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⑤具备用户安全管理，支持账户绑定用户mac地址及IP地址能力，提供账户安全设置，支持账户密码有效期设置，支持登录类型（Web端、PC客户端、移动端）和认证方式（密码、PKI）的配置；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⑥具备NTP校时服务能力，支持对设备和服务器统一校时</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⑦具备数据、服务等统一开放能力；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⑧具备系统运行状态监测能力，包括运行服务监控、运行服务统计、运行数据报告和运行服务解析概览。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（3）AI智能视频分析功能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智能化视频识别能力，可精准识别辖区内各类违规入侵及危险作业行为，具体识别场景包括：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①人员非法入侵识别：划定电子警戒区域，系统自动识别无关人员翻越围墙、闯入禁区、逗留徘徊、违规靠近高危设备区等行为，不受昼夜光线、轻微雨雪天气干扰，全天候精准抓拍告警。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②岸边违规垂钓/捕鱼识别：针对水域岸线、库区边缘、河道管控区域，精准识别人员钓鱼、撒网捕鱼、下水捕捞等违规涉水作业行为，区分正常巡逻人员与违规作业人员，杜绝误报、漏报问题。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③非法船只入侵识别：对管控水域进行全域视频布防，自动识别无备案小船、快艇、渔船擅自驶入管控水域、岸边停靠、近距离靠近关键设施等入侵行为，实时锁定船只位置并上传告警信息。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（4）高分贝智能语音驱离系统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配套加装户外防水高分贝语音驱离喇叭，具备防雨、防尘、抗干扰能力，具备远程喊话、预制语音播报、分级告警驱离三种工作模式。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①采用网络音频解码、高性能D类功放及全频喇叭三合一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②采用高速工业级双核芯片，内置NOR Flash+EMMC双存储，支持系统双备份，系统稳定可靠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③支持安全启动、用户登录锁定机制及密码复杂度提示，支持安全审计日志事后可追溯，提升系统网络安全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④支持通过IP网络（局域网/公网），远程平台批量统一管理+本地WEB单机灵活配置，同时支持本地音频采集播放，适配各类场景应用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⑤支持实时和定时任务、隔天续播，支持150个定时任务，内置1 GB存储空间最多支持1000个wav、mp3音频素材库管理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⑥支持NTP自动校时，系统时间与服务器自动同步，确保多设备播放同步和定时任务准时执行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⑦支持报警输入、布防计划及语音联动，支持TTS语音合成和文本广播，自然流畅的标准男女双声可选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（5）AI分析+语音驱离联动机制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系统能够实现全自动化闭环联动，无需人工值守干预，达成发现、研判、告警、驱离一体化管控流程：AI算法实时抓取画面异常行为→平台毫秒级自动研判确认有效告警→立即触发现场高分贝语音驱离设备→播放预设警示语音劝离违规人员及船只；同时同步将告警截图、视频片段、告警时间、事发位置推送至监控中心后台，留存完整溯源记录。值班人员可按需切换远程人工喊话模式，补充现场警示，提升管控力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（6）驱离广播系统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广播设备管理：支持isapi广播设备，isapi协议包括设备名称，设备接入类型，ip，端口，用户名，密码，所属网域，设备型号的添加和修改；支持isup5协议的设备接入，isup5协议设备支持主动发现，设备主动编号，设备</w:t>
      </w:r>
      <w:r>
        <w:rPr>
          <w:rFonts w:hint="eastAsia" w:ascii="宋体" w:hAnsi="宋体" w:cs="宋体"/>
          <w:sz w:val="24"/>
          <w:szCs w:val="24"/>
          <w:lang w:eastAsia="zh-CN"/>
        </w:rPr>
        <w:t xml:space="preserve">密钥</w:t>
      </w:r>
      <w:r>
        <w:rPr>
          <w:rFonts w:hint="eastAsia" w:ascii="宋体" w:hAnsi="宋体" w:eastAsia="宋体" w:cs="宋体"/>
          <w:sz w:val="24"/>
          <w:szCs w:val="24"/>
        </w:rPr>
        <w:t xml:space="preserve">的添加；支持otap协议的设备接入，通过设备编号与设备</w:t>
      </w:r>
      <w:r>
        <w:rPr>
          <w:rFonts w:hint="eastAsia" w:ascii="宋体" w:hAnsi="宋体" w:cs="宋体"/>
          <w:sz w:val="24"/>
          <w:szCs w:val="24"/>
          <w:lang w:eastAsia="zh-CN"/>
        </w:rPr>
        <w:t xml:space="preserve">密钥</w:t>
      </w:r>
      <w:r>
        <w:rPr>
          <w:rFonts w:hint="eastAsia" w:ascii="宋体" w:hAnsi="宋体" w:eastAsia="宋体" w:cs="宋体"/>
          <w:sz w:val="24"/>
          <w:szCs w:val="24"/>
        </w:rPr>
        <w:t xml:space="preserve">进行设备添加；支持SIP协议的设备接入，SIP协议设备支持主动发现，通过设备主动编号与设备</w:t>
      </w:r>
      <w:r>
        <w:rPr>
          <w:rFonts w:hint="eastAsia" w:ascii="宋体" w:hAnsi="宋体" w:cs="宋体"/>
          <w:sz w:val="24"/>
          <w:szCs w:val="24"/>
          <w:lang w:eastAsia="zh-CN"/>
        </w:rPr>
        <w:t xml:space="preserve">密钥</w:t>
      </w:r>
      <w:r>
        <w:rPr>
          <w:rFonts w:hint="eastAsia" w:ascii="宋体" w:hAnsi="宋体" w:eastAsia="宋体" w:cs="宋体"/>
          <w:sz w:val="24"/>
          <w:szCs w:val="24"/>
        </w:rPr>
        <w:t xml:space="preserve">添加；支持设备的删除，查询，查询条件为设备名称、主动设备编号、ip地址、设备接入协议类型查询；支持广播点的添加和删除。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广播预案管理：预案广播是按照预定设置的规则，可以针对广播点或广播分区，指定音频文件来进行单次或者循环的播放，可以在广播控制台选择预定的预案进行广播。支持对预案的配置，包括指定音频文件、广播分区/广播点、广播周期类型，优先级；支持预案的修改和删除，支持查询，查询条件为名称、任务周期类型，优先级；支持同步广播管理主机的预案信息；支持同步级联广播平台的预案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③文字广播</w:t>
      </w:r>
      <w:r>
        <w:rPr>
          <w:rFonts w:hint="eastAsia" w:ascii="宋体" w:hAnsi="宋体" w:cs="宋体"/>
          <w:sz w:val="24"/>
          <w:szCs w:val="24"/>
          <w:lang w:eastAsia="zh-CN"/>
        </w:rPr>
        <w:t xml:space="preserve">：</w:t>
      </w:r>
      <w:r>
        <w:rPr>
          <w:rFonts w:hint="eastAsia" w:ascii="宋体" w:hAnsi="宋体" w:eastAsia="宋体" w:cs="宋体"/>
          <w:sz w:val="24"/>
          <w:szCs w:val="24"/>
        </w:rPr>
        <w:t xml:space="preserve">支持男/女声语音包配置；支持语音合成音量配置；支持语音合成语速配置；支持语音合成语调配置；支持对配置效果的试听操作；支持数字播报方式配置，包括数字读法、数值读法、特殊读法</w:t>
      </w:r>
      <w:r>
        <w:rPr>
          <w:rFonts w:hint="eastAsia" w:ascii="宋体" w:hAnsi="宋体" w:cs="宋体"/>
          <w:sz w:val="24"/>
          <w:szCs w:val="24"/>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④智能事件联动广播：在泵站上下游已建的视</w:t>
      </w:r>
      <w:r>
        <w:rPr>
          <w:rFonts w:hint="eastAsia" w:ascii="宋体" w:hAnsi="宋体" w:eastAsia="宋体" w:cs="宋体"/>
          <w:sz w:val="24"/>
          <w:szCs w:val="24"/>
        </w:rPr>
        <w:t xml:space="preserve">频监控资源需要接入管理平台中，管理平台按照管理要求配置分析频率，平台实现自动定时抓图，抓取的图像将被推送至部署在边缘侧的智能巡检主机通过AI分析算法，能够实时识别图像中的异常行为或目标，如违规钓鱼、人员越界入侵、船只检测等事件。检测到预设的告警事件，系统立即触发告警机制，通过集成的广播管理模块，自动联动现场部署的对应智能音柱设备，播放预录制的语音警示内容（如“您已进入监控区域，请立即离开”），或通过文字播报功能的方式实现文字自动转语音播报的效果。同时，也支持接入指挥中心麦克风，以便在特定场景下进行人工喊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⑤室外音柱：支持系统双备份，系统稳定可靠；支持安全启动、用户登录锁定机制及密码复杂度提示，支持安全审计日志事</w:t>
      </w:r>
      <w:r>
        <w:rPr>
          <w:rFonts w:hint="eastAsia" w:ascii="宋体" w:hAnsi="宋体" w:eastAsia="宋体" w:cs="宋体"/>
          <w:sz w:val="24"/>
          <w:szCs w:val="24"/>
        </w:rPr>
        <w:t xml:space="preserve">后可追溯，提升系统网络安全；支持通过IP网络（局域网/公网），远程平台批量统一管理+本地WEB单机灵活配置；支持本地音频采集播放，适配各类场景应用；支持实时和定时任务、隔天续播，支持150个定时任务；内置存储空间支持1000个wav、mp3音频素材库管理；支持NTP自动校时，系统时间与服务器自动同步，确保多设备播放同步和定时任务准时执行；支持报警输入、布防计划及语音联动，支持TTS语音合成和文本广播，自然流畅的标准男女双声可选；支持ISUP、萤石、ISAPI协议，灵活接入平台；支持广播混音、优先级灵活配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（7）视频监控摄像头拾音告警系统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皂河站生产区两套在线</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监测系统，实时监测机组运行、开关柜室内、机坑内及变压器室内等的</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，当噪声值大于设定值时，具备开启声光或语音报警功能；设置多段分贝阈值、持续时长触发；区分正常运行</w:t>
      </w:r>
      <w:r>
        <w:rPr>
          <w:rFonts w:hint="eastAsia" w:ascii="宋体" w:hAnsi="宋体" w:cs="宋体"/>
          <w:sz w:val="24"/>
          <w:szCs w:val="24"/>
          <w:lang w:eastAsia="zh-CN"/>
        </w:rPr>
        <w:t xml:space="preserve">噪声</w:t>
      </w:r>
      <w:r>
        <w:rPr>
          <w:rFonts w:hint="eastAsia" w:ascii="宋体" w:hAnsi="宋体" w:eastAsia="宋体" w:cs="宋体"/>
          <w:sz w:val="24"/>
          <w:szCs w:val="24"/>
        </w:rPr>
        <w:t xml:space="preserve">、轻微异响、严重故障轰鸣三级告警；和监控视频同步归档回放，运维远程听音诊断；二级噪声监测仪，开启音频波形抓拍异响。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4.电子界桩及入侵驱离点图（蓝线为管理区范围线，红点为界桩位置图，一共49处。黄色图标为入侵驱离系统点位布置，一共4处。）</w:t>
      </w:r>
      <w:r/>
    </w:p>
    <w:p>
      <w:pPr>
        <w:rPr>
          <w:rFonts w:hint="eastAsia" w:ascii="宋体" w:hAnsi="宋体" w:eastAsia="宋体" w:cs="宋体"/>
          <w:b/>
          <w:sz w:val="28"/>
          <w:szCs w:val="28"/>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676910</wp:posOffset>
                </wp:positionH>
                <wp:positionV relativeFrom="paragraph">
                  <wp:posOffset>80010</wp:posOffset>
                </wp:positionV>
                <wp:extent cx="3692525" cy="3833495"/>
                <wp:effectExtent l="0" t="0" r="3175" b="14604"/>
                <wp:wrapNone/>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3692525" cy="38334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3.3pt;mso-position-horizontal:absolute;mso-position-vertical-relative:text;margin-top:6.3pt;mso-position-vertical:absolute;width:290.8pt;height:301.8pt;mso-wrap-distance-left:0.0pt;mso-wrap-distance-top:0.0pt;mso-wrap-distance-right:0.0pt;mso-wrap-distance-bottom:0.0pt;" stroked="false">
                <v:path textboxrect="0,0,0,0"/>
                <v:imagedata r:id="rId12" o:title=""/>
              </v:shape>
            </w:pict>
          </mc:Fallback>
        </mc:AlternateContent>
      </w:r>
      <w:r>
        <w:rPr>
          <w:rFonts w:hint="eastAsia" w:ascii="宋体" w:hAnsi="宋体" w:eastAsia="宋体" w:cs="宋体"/>
          <w:b/>
          <w:sz w:val="28"/>
          <w:szCs w:val="28"/>
        </w:rPr>
        <w:br w:type="page" w:clear="all"/>
      </w:r>
      <w:r/>
    </w:p>
    <w:p>
      <w:pPr>
        <w:spacing w:line="360" w:lineRule="auto"/>
        <w:rPr>
          <w:rFonts w:hint="eastAsia" w:ascii="宋体" w:hAnsi="宋体" w:eastAsia="宋体" w:cs="宋体"/>
          <w:b/>
          <w:bCs/>
          <w:sz w:val="24"/>
          <w:szCs w:val="24"/>
          <w:highlight w:val="lightGray"/>
        </w:rPr>
      </w:pPr>
      <w:r>
        <w:rPr>
          <w:rFonts w:hint="eastAsia" w:ascii="宋体" w:hAnsi="宋体" w:eastAsia="宋体" w:cs="宋体"/>
          <w:b/>
          <w:bCs/>
          <w:sz w:val="24"/>
          <w:szCs w:val="24"/>
          <w:highlight w:val="lightGray"/>
        </w:rPr>
        <w:t xml:space="preserve">1.皂河站视频监测与AI巡检联动项目采购清单</w:t>
      </w:r>
      <w:r/>
    </w:p>
    <w:tbl>
      <w:tblPr>
        <w:tblStyle w:val="834"/>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240"/>
        <w:gridCol w:w="6334"/>
        <w:gridCol w:w="601"/>
        <w:gridCol w:w="600"/>
      </w:tblGrid>
      <w:tr>
        <w:trPr>
          <w:jc w:val="center"/>
          <w:trHeight w:val="411"/>
        </w:trPr>
        <w:tc>
          <w:tcPr>
            <w:tcW w:w="657"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 w:val="24"/>
              </w:rPr>
              <w:br w:type="page" w:clear="all"/>
            </w:r>
            <w:r>
              <w:rPr>
                <w:rFonts w:hint="eastAsia" w:ascii="宋体" w:hAnsi="宋体" w:eastAsia="宋体" w:cs="宋体"/>
                <w:color w:val="000000"/>
                <w:szCs w:val="21"/>
              </w:rPr>
              <w:t xml:space="preserve">一</w:t>
            </w:r>
            <w:r/>
          </w:p>
        </w:tc>
        <w:tc>
          <w:tcPr>
            <w:gridSpan w:val="4"/>
            <w:tcW w:w="877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视频联动与AI智能识别系统</w:t>
            </w:r>
            <w:r/>
          </w:p>
        </w:tc>
      </w:tr>
      <w:tr>
        <w:trPr>
          <w:jc w:val="center"/>
          <w:trHeight w:val="441"/>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W w:w="124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设备名称</w:t>
            </w:r>
            <w:r/>
          </w:p>
        </w:tc>
        <w:tc>
          <w:tcPr>
            <w:tcW w:w="633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规格参数及特征描述</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单位</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数量</w:t>
            </w:r>
            <w:r/>
          </w:p>
        </w:tc>
      </w:tr>
      <w:tr>
        <w:trPr>
          <w:jc w:val="center"/>
          <w:trHeight w:val="596"/>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24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rPr>
              <w:t xml:space="preserve">▲</w:t>
            </w:r>
            <w:r>
              <w:rPr>
                <w:rFonts w:hint="eastAsia" w:ascii="宋体" w:hAnsi="宋体" w:eastAsia="宋体" w:cs="宋体"/>
                <w:color w:val="000000"/>
                <w:szCs w:val="21"/>
              </w:rPr>
              <w:t xml:space="preserve">塔式工作站</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1.处理器：数量≥2，单颗CPU核心数≥8，主频≥3.0GHz；</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2.内存：16GB DDR4，内存插槽≥4；</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3.存储：480G SSD×2；4热插拔盘位</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4.显卡：2GB独立显卡；</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5.显示：配套27寸液晶显示器；分辨率≥1920*1080</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6.操作系统：预装正版操作系统，可兼容诊断AI智能识别系统。</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7.其他：无线键鼠1套</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87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24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▲智能巡检主机</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设备内置不少于3颗GPU，配置不少于2个GPU直接分析（单GPU支持4路实时或16路定时抓图或轮巡视频分析）+1个GPU（大模型二次研判）</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434"/>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硬盘</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标称容量：12TB，3.5英寸，转速：7200RPM，SATA3.0接口</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块</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p>
        </w:tc>
      </w:tr>
      <w:tr>
        <w:trPr>
          <w:jc w:val="center"/>
          <w:trHeight w:val="87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124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▲AI巡检联动管理平台</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支持部署在塔式工作站上，支持调用智能巡检主机进行智能任务分析，任务过程及结果实时展示，并推送到中控室大屏上，多维度感知泵站机组状态在线监测数据。</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87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124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▲自动化系统联动开发</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支持部署在塔式工作站上，支持调用智能巡检主机进行智能任务分析，任务过程及结果实时展示，并推送到中控室大屏上，多维度感知泵站机组状态在线监测数据。</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87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124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▲AI智能识别算法开发与训练</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开关位置状态、表计读数、指示灯识别、显示屏读数识别、人员车辆入侵、钓鱼、船只闯入、跑冒滴漏、液位识别、温度识别等识别</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58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124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轻网管POE交换机</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24千兆POE电+2千兆光</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400"/>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二</w:t>
            </w:r>
            <w:r/>
          </w:p>
        </w:tc>
        <w:tc>
          <w:tcPr>
            <w:gridSpan w:val="4"/>
            <w:tcW w:w="877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监视摄像机</w:t>
            </w:r>
            <w:r/>
          </w:p>
        </w:tc>
      </w:tr>
      <w:tr>
        <w:trPr>
          <w:jc w:val="center"/>
          <w:trHeight w:val="540"/>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双镜头摄像机</w:t>
            </w:r>
            <w:r/>
          </w:p>
        </w:tc>
        <w:tc>
          <w:tcPr>
            <w:tcW w:w="6334" w:type="dxa"/>
            <w:vAlign w:val="center"/>
            <w:textDirection w:val="lrTb"/>
            <w:noWrap w:val="false"/>
          </w:tcPr>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设备内置双镜头，内置2颗靶面尺寸不小于1/1.8英寸的CMOS图像传感器，均不小于2560×1440像素</w:t>
            </w:r>
            <w:r/>
          </w:p>
          <w:p>
            <w:pPr>
              <w:rPr>
                <w:rFonts w:hint="eastAsia" w:ascii="宋体" w:hAnsi="宋体" w:eastAsia="宋体" w:cs="宋体"/>
              </w:rPr>
            </w:pPr>
            <w:r>
              <w:rPr>
                <w:rFonts w:hint="eastAsia" w:ascii="宋体" w:hAnsi="宋体" w:cs="宋体"/>
                <w:lang w:eastAsia="zh-CN"/>
              </w:rPr>
              <w:t xml:space="preserve">2.</w:t>
            </w:r>
            <w:r>
              <w:rPr>
                <w:rFonts w:hint="eastAsia" w:ascii="宋体" w:hAnsi="宋体" w:eastAsia="宋体" w:cs="宋体"/>
              </w:rPr>
              <w:t xml:space="preserve">两个镜头最低照度彩色不大于0.0005 lx，黑白不大于0.0001 lx，均支持电动变倍、自动/电动聚焦、自动调节光圈功能</w:t>
            </w:r>
            <w:r/>
          </w:p>
          <w:p>
            <w:pPr>
              <w:rPr>
                <w:rFonts w:hint="eastAsia" w:ascii="宋体" w:hAnsi="宋体" w:eastAsia="宋体" w:cs="宋体"/>
              </w:rPr>
            </w:pPr>
            <w:r>
              <w:rPr>
                <w:rFonts w:hint="eastAsia" w:ascii="宋体" w:hAnsi="宋体" w:cs="宋体"/>
                <w:lang w:eastAsia="zh-CN"/>
              </w:rPr>
              <w:t xml:space="preserve">3.</w:t>
            </w:r>
            <w:r>
              <w:rPr>
                <w:rFonts w:hint="eastAsia" w:ascii="宋体" w:hAnsi="宋体" w:eastAsia="宋体" w:cs="宋体"/>
              </w:rPr>
              <w:t xml:space="preserve">内置GPU芯片</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设备内置4个电机，通道1和通道2均应支持PT一体化云台，通道1和通道2的云台应可独立控制</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设备内置8颗混合补光灯，通道1和通道2均具有4颗混合补光灯，各含一组近光补光灯和一组远光补光灯，且支持自动和手动亮度调节模式</w:t>
            </w:r>
            <w:r/>
          </w:p>
          <w:p>
            <w:pPr>
              <w:rPr>
                <w:rFonts w:hint="eastAsia" w:ascii="宋体" w:hAnsi="宋体" w:eastAsia="宋体" w:cs="宋体"/>
              </w:rPr>
            </w:pPr>
            <w:r>
              <w:rPr>
                <w:rFonts w:hint="eastAsia" w:ascii="宋体" w:hAnsi="宋体" w:cs="宋体"/>
                <w:lang w:eastAsia="zh-CN"/>
              </w:rPr>
              <w:t xml:space="preserve">6.</w:t>
            </w:r>
            <w:r>
              <w:rPr>
                <w:rFonts w:hint="eastAsia" w:ascii="宋体" w:hAnsi="宋体" w:eastAsia="宋体" w:cs="宋体"/>
              </w:rPr>
              <w:t xml:space="preserve">设备具有2个音频输入接口、1个音频输出接口、3个报警输入接口、2个报警输出接口、2个麦克风、1个扬声器</w:t>
            </w:r>
            <w:r/>
          </w:p>
          <w:p>
            <w:pPr>
              <w:rPr>
                <w:rFonts w:hint="eastAsia" w:ascii="宋体" w:hAnsi="宋体" w:eastAsia="宋体" w:cs="宋体"/>
              </w:rPr>
            </w:pPr>
            <w:r>
              <w:rPr>
                <w:rFonts w:hint="eastAsia" w:ascii="宋体" w:hAnsi="宋体" w:cs="宋体"/>
                <w:lang w:eastAsia="zh-CN"/>
              </w:rPr>
              <w:t xml:space="preserve">7.</w:t>
            </w:r>
            <w:r>
              <w:rPr>
                <w:rFonts w:hint="eastAsia" w:ascii="宋体" w:hAnsi="宋体" w:eastAsia="宋体" w:cs="宋体"/>
              </w:rPr>
              <w:t xml:space="preserve">设备内置鳞镜式补光灯，灯珠朝向与设备照射方向不同，灯杯为半弧形网格鳞片状，可均匀进行补光，避免镜面反光</w:t>
            </w:r>
            <w:r/>
          </w:p>
          <w:p>
            <w:pPr>
              <w:rPr>
                <w:rFonts w:hint="eastAsia" w:ascii="宋体" w:hAnsi="宋体" w:eastAsia="宋体" w:cs="宋体"/>
                <w:color w:val="000000"/>
                <w:szCs w:val="21"/>
              </w:rPr>
            </w:pPr>
            <w:r>
              <w:rPr>
                <w:rFonts w:hint="eastAsia" w:ascii="宋体" w:hAnsi="宋体" w:cs="宋体"/>
                <w:lang w:eastAsia="zh-CN"/>
              </w:rPr>
              <w:t xml:space="preserve">8.</w:t>
            </w:r>
            <w:r>
              <w:rPr>
                <w:rFonts w:hint="eastAsia" w:ascii="宋体" w:hAnsi="宋体" w:eastAsia="宋体" w:cs="宋体"/>
              </w:rPr>
              <w:t xml:space="preserve">支持在-30°C~60°C范围内正常工作，外壳防护能力不低于IP67</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14</w:t>
            </w:r>
            <w:r/>
          </w:p>
        </w:tc>
      </w:tr>
      <w:tr>
        <w:trPr>
          <w:jc w:val="center"/>
          <w:trHeight w:val="87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微距摄像机</w:t>
            </w:r>
            <w:r/>
          </w:p>
        </w:tc>
        <w:tc>
          <w:tcPr>
            <w:tcW w:w="6334" w:type="dxa"/>
            <w:vAlign w:val="center"/>
            <w:textDirection w:val="lrTb"/>
            <w:noWrap w:val="false"/>
          </w:tcPr>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镜头像素不低于2560×1920</w:t>
            </w:r>
            <w:r/>
          </w:p>
          <w:p>
            <w:pPr>
              <w:rPr>
                <w:rFonts w:hint="eastAsia" w:ascii="宋体" w:hAnsi="宋体" w:eastAsia="宋体" w:cs="宋体"/>
              </w:rPr>
            </w:pPr>
            <w:r>
              <w:rPr>
                <w:rFonts w:hint="eastAsia" w:ascii="宋体" w:hAnsi="宋体" w:cs="宋体"/>
                <w:lang w:eastAsia="zh-CN"/>
              </w:rPr>
              <w:t xml:space="preserve">2.</w:t>
            </w:r>
            <w:r>
              <w:rPr>
                <w:rFonts w:hint="eastAsia" w:ascii="宋体" w:hAnsi="宋体" w:eastAsia="宋体" w:cs="宋体"/>
              </w:rPr>
              <w:t xml:space="preserve">内置1个SD卡插槽、1个麦克风，具有1个RJ45网络接口。</w:t>
            </w:r>
            <w:r/>
          </w:p>
          <w:p>
            <w:pPr>
              <w:rPr>
                <w:rFonts w:hint="eastAsia" w:ascii="宋体" w:hAnsi="宋体" w:eastAsia="宋体" w:cs="宋体"/>
              </w:rPr>
            </w:pPr>
            <w:r>
              <w:rPr>
                <w:rFonts w:hint="eastAsia" w:ascii="宋体" w:hAnsi="宋体" w:cs="宋体"/>
                <w:lang w:eastAsia="zh-CN"/>
              </w:rPr>
              <w:t xml:space="preserve">3.</w:t>
            </w:r>
            <w:r>
              <w:rPr>
                <w:rFonts w:hint="eastAsia" w:ascii="宋体" w:hAnsi="宋体" w:eastAsia="宋体" w:cs="宋体"/>
              </w:rPr>
              <w:t xml:space="preserve">最低照度彩色：0.001 lx，黑白</w:t>
            </w:r>
            <w:r>
              <w:rPr>
                <w:rFonts w:hint="eastAsia" w:ascii="宋体" w:hAnsi="宋体" w:cs="宋体"/>
                <w:lang w:eastAsia="zh-CN"/>
              </w:rPr>
              <w:t xml:space="preserve">：</w:t>
            </w:r>
            <w:r>
              <w:rPr>
                <w:rFonts w:hint="eastAsia" w:ascii="宋体" w:hAnsi="宋体" w:eastAsia="宋体" w:cs="宋体"/>
              </w:rPr>
              <w:t xml:space="preserve">0.0001 lx，最大亮度鉴别等级（灰度等级）不小于11级。</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水平视场角不小于80°，垂直视场角不小于64°</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白光补光距离不小于1米，照射角度不小于95°</w:t>
            </w:r>
            <w:r/>
          </w:p>
          <w:p>
            <w:pPr>
              <w:rPr>
                <w:rFonts w:hint="eastAsia" w:ascii="宋体" w:hAnsi="宋体" w:eastAsia="宋体" w:cs="宋体"/>
              </w:rPr>
            </w:pPr>
            <w:r>
              <w:rPr>
                <w:rFonts w:hint="eastAsia" w:ascii="宋体" w:hAnsi="宋体" w:cs="宋体"/>
                <w:lang w:eastAsia="zh-CN"/>
              </w:rPr>
              <w:t xml:space="preserve">6.</w:t>
            </w:r>
            <w:r>
              <w:rPr>
                <w:rFonts w:hint="eastAsia" w:ascii="宋体" w:hAnsi="宋体" w:eastAsia="宋体" w:cs="宋体"/>
              </w:rPr>
              <w:t xml:space="preserve">具有数字降噪、镜像功能、走廊模式、电子放大、视频水印、可伸缩编码SVC、透雾等功能。</w:t>
            </w:r>
            <w:r/>
          </w:p>
          <w:p>
            <w:pPr>
              <w:rPr>
                <w:rFonts w:hint="eastAsia" w:ascii="宋体" w:hAnsi="宋体" w:eastAsia="宋体" w:cs="宋体"/>
              </w:rPr>
            </w:pPr>
            <w:r>
              <w:rPr>
                <w:rFonts w:hint="eastAsia" w:ascii="宋体" w:hAnsi="宋体" w:cs="宋体"/>
                <w:lang w:eastAsia="zh-CN"/>
              </w:rPr>
              <w:t xml:space="preserve">7.</w:t>
            </w:r>
            <w:r>
              <w:rPr>
                <w:rFonts w:hint="eastAsia" w:ascii="宋体" w:hAnsi="宋体" w:eastAsia="宋体" w:cs="宋体"/>
              </w:rPr>
              <w:t xml:space="preserve">具有耀光抑制功能，耀光区域不大于1%。</w:t>
            </w:r>
            <w:r/>
          </w:p>
          <w:p>
            <w:pPr>
              <w:rPr>
                <w:rFonts w:hint="eastAsia" w:ascii="宋体" w:hAnsi="宋体" w:eastAsia="宋体" w:cs="宋体"/>
              </w:rPr>
            </w:pPr>
            <w:r>
              <w:rPr>
                <w:rFonts w:hint="eastAsia" w:ascii="宋体" w:hAnsi="宋体" w:cs="宋体"/>
                <w:lang w:eastAsia="zh-CN"/>
              </w:rPr>
              <w:t xml:space="preserve">8.</w:t>
            </w:r>
            <w:r>
              <w:rPr>
                <w:rFonts w:hint="eastAsia" w:ascii="宋体" w:hAnsi="宋体" w:eastAsia="宋体" w:cs="宋体"/>
              </w:rPr>
              <w:t xml:space="preserve">通过镜头聚焦，可看清距离镜头5cm</w:t>
            </w:r>
            <w:r>
              <w:rPr>
                <w:rFonts w:hint="eastAsia" w:ascii="宋体" w:hAnsi="宋体" w:cs="宋体"/>
                <w:lang w:eastAsia="zh-CN"/>
              </w:rPr>
              <w:t xml:space="preserve">—</w:t>
            </w:r>
            <w:r>
              <w:rPr>
                <w:rFonts w:hint="eastAsia" w:ascii="宋体" w:hAnsi="宋体" w:eastAsia="宋体" w:cs="宋体"/>
              </w:rPr>
              <w:t xml:space="preserve">50cm范围内的5号（10.5磅）宋体数字。</w:t>
            </w:r>
            <w:r/>
          </w:p>
          <w:p>
            <w:pPr>
              <w:rPr>
                <w:rFonts w:hint="eastAsia" w:ascii="宋体" w:hAnsi="宋体" w:eastAsia="宋体" w:cs="宋体"/>
              </w:rPr>
            </w:pPr>
            <w:r>
              <w:rPr>
                <w:rFonts w:hint="eastAsia" w:ascii="宋体" w:hAnsi="宋体" w:cs="宋体"/>
                <w:lang w:eastAsia="zh-CN"/>
              </w:rPr>
              <w:t xml:space="preserve">9.</w:t>
            </w:r>
            <w:r>
              <w:rPr>
                <w:rFonts w:hint="eastAsia" w:ascii="宋体" w:hAnsi="宋体" w:eastAsia="宋体" w:cs="宋体"/>
              </w:rPr>
              <w:t xml:space="preserve">具有声音采集功能，可听清1m处不低于70dB的声音。</w:t>
            </w:r>
            <w:r/>
          </w:p>
          <w:p>
            <w:pPr>
              <w:rPr>
                <w:rFonts w:hint="eastAsia" w:ascii="宋体" w:hAnsi="宋体" w:eastAsia="宋体" w:cs="宋体"/>
                <w:color w:val="000000"/>
                <w:szCs w:val="21"/>
              </w:rPr>
            </w:pPr>
            <w:r>
              <w:rPr>
                <w:rFonts w:hint="eastAsia" w:ascii="宋体" w:hAnsi="宋体" w:cs="宋体"/>
                <w:lang w:eastAsia="zh-CN"/>
              </w:rPr>
              <w:t xml:space="preserve">10.</w:t>
            </w:r>
            <w:r>
              <w:rPr>
                <w:rFonts w:hint="eastAsia" w:ascii="宋体" w:hAnsi="宋体" w:eastAsia="宋体" w:cs="宋体"/>
              </w:rPr>
              <w:t xml:space="preserve">具有光斑消除功能，开启白光灯正对表盘时，可消除表盘反射的光源光斑，可清</w:t>
            </w:r>
            <w:r>
              <w:rPr>
                <w:rFonts w:hint="eastAsia" w:ascii="宋体" w:hAnsi="宋体" w:cs="宋体"/>
                <w:lang w:eastAsia="zh-CN"/>
              </w:rPr>
              <w:t xml:space="preserve">晰地</w:t>
            </w:r>
            <w:r>
              <w:rPr>
                <w:rFonts w:hint="eastAsia" w:ascii="宋体" w:hAnsi="宋体" w:eastAsia="宋体" w:cs="宋体"/>
              </w:rPr>
              <w:t xml:space="preserve">显示表盘刻度或数字。</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jc w:val="center"/>
          <w:trHeight w:val="58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双光谱热成像球机</w:t>
            </w:r>
            <w:r/>
          </w:p>
        </w:tc>
        <w:tc>
          <w:tcPr>
            <w:tcW w:w="6334" w:type="dxa"/>
            <w:vAlign w:val="center"/>
            <w:textDirection w:val="lrTb"/>
            <w:noWrap w:val="false"/>
          </w:tcPr>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热成像传感器类型：氧化钒非制冷型探测器。</w:t>
            </w:r>
            <w:r>
              <w:rPr>
                <w:rFonts w:hint="eastAsia" w:ascii="宋体" w:hAnsi="宋体" w:eastAsia="宋体" w:cs="宋体"/>
              </w:rPr>
              <w:br/>
            </w:r>
            <w:r>
              <w:rPr>
                <w:rFonts w:hint="eastAsia" w:ascii="宋体" w:hAnsi="宋体" w:eastAsia="宋体" w:cs="宋体"/>
              </w:rPr>
              <w:t xml:space="preserve">2、热成像分辨率不低于256×192。</w:t>
            </w:r>
            <w:r/>
          </w:p>
          <w:p>
            <w:pPr>
              <w:rPr>
                <w:rFonts w:hint="eastAsia" w:ascii="宋体" w:hAnsi="宋体" w:eastAsia="宋体" w:cs="宋体"/>
              </w:rPr>
            </w:pPr>
            <w:r>
              <w:rPr>
                <w:rFonts w:hint="eastAsia" w:ascii="宋体" w:hAnsi="宋体" w:eastAsia="宋体" w:cs="宋体"/>
              </w:rPr>
              <w:t xml:space="preserve">3</w:t>
            </w:r>
            <w:r>
              <w:rPr>
                <w:rFonts w:hint="eastAsia" w:ascii="宋体" w:hAnsi="宋体" w:cs="宋体"/>
                <w:lang w:eastAsia="zh-CN"/>
              </w:rPr>
              <w:t xml:space="preserve">、支</w:t>
            </w:r>
            <w:r>
              <w:rPr>
                <w:rFonts w:hint="eastAsia" w:ascii="宋体" w:hAnsi="宋体" w:eastAsia="宋体" w:cs="宋体"/>
              </w:rPr>
              <w:t xml:space="preserve">持测温功能，测温范围：-20 ℃~550 ℃，测温精度：±2 ℃，或者读数的±2%。</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热成像帧率：支持50帧/秒。</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支持温度异常报警功能，在探测温度</w:t>
            </w:r>
            <w:r>
              <w:rPr>
                <w:rFonts w:hint="eastAsia" w:ascii="宋体" w:hAnsi="宋体" w:cs="宋体"/>
                <w:lang w:eastAsia="zh-CN"/>
              </w:rPr>
              <w:t xml:space="preserve">区域</w:t>
            </w:r>
            <w:r>
              <w:rPr>
                <w:rFonts w:hint="eastAsia" w:ascii="宋体" w:hAnsi="宋体" w:eastAsia="宋体" w:cs="宋体"/>
              </w:rPr>
              <w:t xml:space="preserve">超过预设温度时，可发出报警信号。</w:t>
            </w:r>
            <w:r/>
          </w:p>
          <w:p>
            <w:pPr>
              <w:rPr>
                <w:rFonts w:hint="eastAsia" w:ascii="宋体" w:hAnsi="宋体" w:eastAsia="宋体" w:cs="宋体"/>
              </w:rPr>
            </w:pPr>
            <w:r>
              <w:rPr>
                <w:rFonts w:hint="eastAsia" w:ascii="宋体" w:hAnsi="宋体" w:cs="宋体"/>
                <w:lang w:eastAsia="zh-CN"/>
              </w:rPr>
              <w:t xml:space="preserve">6.</w:t>
            </w:r>
            <w:r>
              <w:rPr>
                <w:rFonts w:hint="eastAsia" w:ascii="宋体" w:hAnsi="宋体" w:eastAsia="宋体" w:cs="宋体"/>
              </w:rPr>
              <w:t xml:space="preserve">目标物最远测温距离（以0.1×0.1米为准）：5m</w:t>
            </w:r>
            <w:r/>
          </w:p>
          <w:p>
            <w:pPr>
              <w:rPr>
                <w:rFonts w:hint="eastAsia" w:ascii="宋体" w:hAnsi="宋体" w:eastAsia="宋体" w:cs="宋体"/>
              </w:rPr>
            </w:pPr>
            <w:r>
              <w:rPr>
                <w:rFonts w:hint="eastAsia" w:ascii="宋体" w:hAnsi="宋体" w:eastAsia="宋体" w:cs="宋体"/>
              </w:rPr>
              <w:t xml:space="preserve">可见光镜头：</w:t>
            </w:r>
            <w:r/>
          </w:p>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可见光分辨率不低于2688×1520</w:t>
            </w:r>
            <w:r/>
          </w:p>
          <w:p>
            <w:pPr>
              <w:rPr>
                <w:rFonts w:hint="eastAsia" w:ascii="宋体" w:hAnsi="宋体" w:eastAsia="宋体" w:cs="宋体"/>
              </w:rPr>
            </w:pPr>
            <w:r>
              <w:rPr>
                <w:rFonts w:hint="eastAsia" w:ascii="宋体" w:hAnsi="宋体" w:cs="宋体"/>
                <w:lang w:eastAsia="zh-CN"/>
              </w:rPr>
              <w:t xml:space="preserve">2.</w:t>
            </w:r>
            <w:r>
              <w:rPr>
                <w:rFonts w:hint="eastAsia" w:ascii="宋体" w:hAnsi="宋体" w:eastAsia="宋体" w:cs="宋体"/>
              </w:rPr>
              <w:t xml:space="preserve">低照度，彩色≤0.001lx，黑白≤0.0001lx</w:t>
            </w:r>
            <w:r/>
          </w:p>
          <w:p>
            <w:pPr>
              <w:rPr>
                <w:rFonts w:hint="eastAsia" w:ascii="宋体" w:hAnsi="宋体" w:eastAsia="宋体" w:cs="宋体"/>
              </w:rPr>
            </w:pPr>
            <w:r>
              <w:rPr>
                <w:rFonts w:hint="eastAsia" w:ascii="宋体" w:hAnsi="宋体" w:cs="宋体"/>
                <w:lang w:eastAsia="zh-CN"/>
              </w:rPr>
              <w:t xml:space="preserve">3.</w:t>
            </w:r>
            <w:r>
              <w:rPr>
                <w:rFonts w:hint="eastAsia" w:ascii="宋体" w:hAnsi="宋体" w:eastAsia="宋体" w:cs="宋体"/>
              </w:rPr>
              <w:t xml:space="preserve">支持自动聚焦、强光抑制、透雾功能、电子放大（可见光要求）、电子防抖。</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水平方向360°连续旋转，垂直方向-5°-90°</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电源输入：DC12±20% DC24±20%，支持HIPOE供电。</w:t>
            </w:r>
            <w:r/>
          </w:p>
          <w:p>
            <w:pPr>
              <w:rPr>
                <w:rFonts w:hint="eastAsia" w:ascii="宋体" w:hAnsi="宋体" w:eastAsia="宋体" w:cs="宋体"/>
                <w:color w:val="000000"/>
                <w:szCs w:val="21"/>
              </w:rPr>
            </w:pPr>
            <w:r>
              <w:rPr>
                <w:rFonts w:hint="eastAsia" w:ascii="宋体" w:hAnsi="宋体" w:cs="宋体"/>
                <w:lang w:eastAsia="zh-CN"/>
              </w:rPr>
              <w:t xml:space="preserve">6.</w:t>
            </w:r>
            <w:r>
              <w:rPr>
                <w:rFonts w:hint="eastAsia" w:ascii="宋体" w:hAnsi="宋体" w:eastAsia="宋体" w:cs="宋体"/>
              </w:rPr>
              <w:t xml:space="preserve">防护等级：不低于IP66，TVS 6000V 防雷、防浪涌、防突波，符合GB/T17626.5 四级标准。</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58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固定摄像机</w:t>
            </w:r>
            <w:r/>
          </w:p>
        </w:tc>
        <w:tc>
          <w:tcPr>
            <w:tcW w:w="6334" w:type="dxa"/>
            <w:vAlign w:val="center"/>
            <w:textDirection w:val="lrTb"/>
            <w:noWrap w:val="false"/>
          </w:tcPr>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最大图像尺寸：2688 ×1520，传感器类型：1/3" Progressive Scan CMOS，最低照度：彩色：0.005 Lux</w:t>
            </w:r>
            <w:r>
              <w:rPr>
                <w:rFonts w:hint="eastAsia" w:ascii="宋体" w:hAnsi="宋体" w:eastAsia="宋体" w:cs="宋体"/>
              </w:rPr>
              <w:br/>
            </w:r>
            <w:r>
              <w:rPr>
                <w:rFonts w:hint="eastAsia" w:ascii="宋体" w:hAnsi="宋体" w:eastAsia="宋体" w:cs="宋体"/>
              </w:rPr>
              <w:t xml:space="preserve">2、焦距：2.7~8 mm，支持电动变焦</w:t>
            </w:r>
            <w:r>
              <w:rPr>
                <w:rFonts w:hint="eastAsia" w:ascii="宋体" w:hAnsi="宋体" w:eastAsia="宋体" w:cs="宋体"/>
              </w:rPr>
              <w:br/>
            </w:r>
            <w:r>
              <w:rPr>
                <w:rFonts w:hint="eastAsia" w:ascii="宋体" w:hAnsi="宋体" w:eastAsia="宋体" w:cs="宋体"/>
              </w:rPr>
              <w:t xml:space="preserve">3、补光距离：红外光最远可达30 m，白光最远可达30m</w:t>
            </w:r>
            <w:r>
              <w:rPr>
                <w:rFonts w:hint="eastAsia" w:ascii="宋体" w:hAnsi="宋体" w:eastAsia="宋体" w:cs="宋体"/>
              </w:rPr>
              <w:br/>
            </w:r>
            <w:r>
              <w:rPr>
                <w:rFonts w:hint="eastAsia" w:ascii="宋体" w:hAnsi="宋体" w:eastAsia="宋体" w:cs="宋体"/>
              </w:rPr>
              <w:t xml:space="preserve">4、防补光过曝：支持</w:t>
            </w:r>
            <w:r>
              <w:rPr>
                <w:rFonts w:hint="eastAsia" w:ascii="宋体" w:hAnsi="宋体" w:eastAsia="宋体" w:cs="宋体"/>
              </w:rPr>
              <w:br/>
            </w:r>
            <w:r>
              <w:rPr>
                <w:rFonts w:hint="eastAsia" w:ascii="宋体" w:hAnsi="宋体" w:eastAsia="宋体" w:cs="宋体"/>
              </w:rPr>
              <w:t xml:space="preserve">5、网络：1个RJ45 10 M/100 M自适应以太网口</w:t>
            </w:r>
            <w:r>
              <w:rPr>
                <w:rFonts w:hint="eastAsia" w:ascii="宋体" w:hAnsi="宋体" w:eastAsia="宋体" w:cs="宋体"/>
              </w:rPr>
              <w:br/>
            </w:r>
            <w:r>
              <w:rPr>
                <w:rFonts w:hint="eastAsia" w:ascii="宋体" w:hAnsi="宋体" w:eastAsia="宋体" w:cs="宋体"/>
              </w:rPr>
              <w:t xml:space="preserve">6、SD卡扩展：内置MicroSD/MicroSDHC/MicroSDXC插槽，最大支持512 GB</w:t>
            </w:r>
            <w:r>
              <w:rPr>
                <w:rFonts w:hint="eastAsia" w:ascii="宋体" w:hAnsi="宋体" w:eastAsia="宋体" w:cs="宋体"/>
              </w:rPr>
              <w:br/>
            </w:r>
            <w:r>
              <w:rPr>
                <w:rFonts w:hint="eastAsia" w:ascii="宋体" w:hAnsi="宋体" w:eastAsia="宋体" w:cs="宋体"/>
              </w:rPr>
              <w:t xml:space="preserve">7、音频：1个内置麦克风，1个内置扬声器</w:t>
            </w:r>
            <w:r>
              <w:rPr>
                <w:rFonts w:hint="eastAsia" w:ascii="宋体" w:hAnsi="宋体" w:eastAsia="宋体" w:cs="宋体"/>
              </w:rPr>
              <w:br/>
            </w:r>
            <w:r>
              <w:rPr>
                <w:rFonts w:hint="eastAsia" w:ascii="宋体" w:hAnsi="宋体" w:eastAsia="宋体" w:cs="宋体"/>
              </w:rPr>
              <w:t xml:space="preserve">8、报警：1路输入，1路输出</w:t>
            </w:r>
            <w:r/>
          </w:p>
          <w:p>
            <w:pPr>
              <w:rPr>
                <w:rFonts w:hint="eastAsia" w:ascii="宋体" w:hAnsi="宋体" w:eastAsia="宋体" w:cs="宋体"/>
                <w:color w:val="000000"/>
                <w:szCs w:val="21"/>
              </w:rPr>
            </w:pPr>
            <w:r>
              <w:rPr>
                <w:rFonts w:hint="eastAsia" w:ascii="宋体" w:hAnsi="宋体" w:cs="宋体"/>
                <w:lang w:eastAsia="zh-CN"/>
              </w:rPr>
              <w:t xml:space="preserve">9.</w:t>
            </w:r>
            <w:r>
              <w:rPr>
                <w:rFonts w:hint="eastAsia" w:ascii="宋体" w:hAnsi="宋体" w:eastAsia="宋体" w:cs="宋体"/>
              </w:rPr>
              <w:t xml:space="preserve">电源输出：支持DC12V，100mA，可用于拾音器供电</w:t>
            </w:r>
            <w:r>
              <w:rPr>
                <w:rFonts w:hint="eastAsia" w:ascii="宋体" w:hAnsi="宋体" w:eastAsia="宋体" w:cs="宋体"/>
              </w:rPr>
              <w:br/>
            </w:r>
            <w:r>
              <w:rPr>
                <w:rFonts w:hint="eastAsia" w:ascii="宋体" w:hAnsi="宋体" w:eastAsia="宋体" w:cs="宋体"/>
              </w:rPr>
              <w:t xml:space="preserve">10、供电方式：DC：12V ± 25%，支持防反接保护，PoE：IEEE 802.3af，CLASS 3</w:t>
            </w:r>
            <w:r>
              <w:rPr>
                <w:rFonts w:hint="eastAsia" w:ascii="宋体" w:hAnsi="宋体" w:eastAsia="宋体" w:cs="宋体"/>
              </w:rPr>
              <w:br/>
            </w:r>
            <w:r>
              <w:rPr>
                <w:rFonts w:hint="eastAsia" w:ascii="宋体" w:hAnsi="宋体" w:eastAsia="宋体" w:cs="宋体"/>
              </w:rPr>
              <w:t xml:space="preserve">11、防护：IP67</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58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黑光球机</w:t>
            </w:r>
            <w:r/>
          </w:p>
        </w:tc>
        <w:tc>
          <w:tcPr>
            <w:tcW w:w="6334" w:type="dxa"/>
            <w:vAlign w:val="center"/>
            <w:textDirection w:val="lrTb"/>
            <w:noWrap w:val="false"/>
          </w:tcPr>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视频分辨率与帧率不小于2560×1440、25帧/秒</w:t>
            </w:r>
            <w:r/>
          </w:p>
          <w:p>
            <w:pPr>
              <w:rPr>
                <w:rFonts w:hint="eastAsia" w:ascii="宋体" w:hAnsi="宋体" w:eastAsia="宋体" w:cs="宋体"/>
              </w:rPr>
            </w:pPr>
            <w:r>
              <w:rPr>
                <w:rFonts w:hint="eastAsia" w:ascii="宋体" w:hAnsi="宋体" w:cs="宋体"/>
                <w:lang w:eastAsia="zh-CN"/>
              </w:rPr>
              <w:t xml:space="preserve">2.</w:t>
            </w:r>
            <w:r>
              <w:rPr>
                <w:rFonts w:hint="eastAsia" w:ascii="宋体" w:hAnsi="宋体" w:eastAsia="宋体" w:cs="宋体"/>
              </w:rPr>
              <w:t xml:space="preserve">摄像机靶面尺寸不小于1/1.8英寸</w:t>
            </w:r>
            <w:r/>
          </w:p>
          <w:p>
            <w:pPr>
              <w:rPr>
                <w:rFonts w:hint="eastAsia" w:ascii="宋体" w:hAnsi="宋体" w:eastAsia="宋体" w:cs="宋体"/>
              </w:rPr>
            </w:pPr>
            <w:r>
              <w:rPr>
                <w:rFonts w:hint="eastAsia" w:ascii="宋体" w:hAnsi="宋体" w:cs="宋体"/>
                <w:lang w:eastAsia="zh-CN"/>
              </w:rPr>
              <w:t xml:space="preserve">3.</w:t>
            </w:r>
            <w:r>
              <w:rPr>
                <w:rFonts w:hint="eastAsia" w:ascii="宋体" w:hAnsi="宋体" w:eastAsia="宋体" w:cs="宋体"/>
              </w:rPr>
              <w:t xml:space="preserve">内置GPU芯片</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摄像机内置2个图像传感器，可分别输出黑白视频图像和彩色视频图像，并可对这两路</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视频图像进行融合输出</w:t>
            </w:r>
            <w:r/>
          </w:p>
          <w:p>
            <w:pPr>
              <w:rPr>
                <w:rFonts w:hint="eastAsia" w:ascii="宋体" w:hAnsi="宋体" w:eastAsia="宋体" w:cs="宋体"/>
              </w:rPr>
            </w:pPr>
            <w:r>
              <w:rPr>
                <w:rFonts w:hint="eastAsia" w:ascii="宋体" w:hAnsi="宋体" w:cs="宋体"/>
                <w:lang w:eastAsia="zh-CN"/>
              </w:rPr>
              <w:t xml:space="preserve">6.</w:t>
            </w:r>
            <w:r>
              <w:rPr>
                <w:rFonts w:hint="eastAsia" w:ascii="宋体" w:hAnsi="宋体" w:eastAsia="宋体" w:cs="宋体"/>
              </w:rPr>
              <w:t xml:space="preserve">最低照度彩色不大于0.0002 lx，黑白不大于0.0001 lx。</w:t>
            </w:r>
            <w:r/>
          </w:p>
          <w:p>
            <w:pPr>
              <w:rPr>
                <w:rFonts w:hint="eastAsia" w:ascii="宋体" w:hAnsi="宋体" w:eastAsia="宋体" w:cs="宋体"/>
              </w:rPr>
            </w:pPr>
            <w:r>
              <w:rPr>
                <w:rFonts w:hint="eastAsia" w:ascii="宋体" w:hAnsi="宋体" w:cs="宋体"/>
                <w:lang w:eastAsia="zh-CN"/>
              </w:rPr>
              <w:t xml:space="preserve">7.</w:t>
            </w:r>
            <w:r>
              <w:rPr>
                <w:rFonts w:hint="eastAsia" w:ascii="宋体" w:hAnsi="宋体" w:eastAsia="宋体" w:cs="宋体"/>
              </w:rPr>
              <w:t xml:space="preserve">设备支持水平旋转范围为0~360°连续旋转，垂直旋转范围为-20°~90°。</w:t>
            </w:r>
            <w:r/>
          </w:p>
          <w:p>
            <w:pPr>
              <w:rPr>
                <w:rFonts w:hint="eastAsia" w:ascii="宋体" w:hAnsi="宋体" w:eastAsia="宋体" w:cs="宋体"/>
              </w:rPr>
            </w:pPr>
            <w:r>
              <w:rPr>
                <w:rFonts w:hint="eastAsia" w:ascii="宋体" w:hAnsi="宋体" w:cs="宋体"/>
                <w:lang w:eastAsia="zh-CN"/>
              </w:rPr>
              <w:t xml:space="preserve">8.</w:t>
            </w:r>
            <w:r>
              <w:rPr>
                <w:rFonts w:hint="eastAsia" w:ascii="宋体" w:hAnsi="宋体" w:eastAsia="宋体" w:cs="宋体"/>
              </w:rPr>
              <w:t xml:space="preserve">红外距离不小于250米。</w:t>
            </w:r>
            <w:r/>
          </w:p>
          <w:p>
            <w:pPr>
              <w:rPr>
                <w:rFonts w:hint="eastAsia" w:ascii="宋体" w:hAnsi="宋体" w:eastAsia="宋体" w:cs="宋体"/>
              </w:rPr>
            </w:pPr>
            <w:r>
              <w:rPr>
                <w:rFonts w:hint="eastAsia" w:ascii="宋体" w:hAnsi="宋体" w:cs="宋体"/>
                <w:lang w:eastAsia="zh-CN"/>
              </w:rPr>
              <w:t xml:space="preserve">9.</w:t>
            </w:r>
            <w:r>
              <w:rPr>
                <w:rFonts w:hint="eastAsia" w:ascii="宋体" w:hAnsi="宋体" w:eastAsia="宋体" w:cs="宋体"/>
              </w:rPr>
              <w:t xml:space="preserve">支持7路报警输入、2路报警输出、1路音频输入、1路音频输出。</w:t>
            </w:r>
            <w:r/>
          </w:p>
          <w:p>
            <w:pPr>
              <w:rPr>
                <w:rFonts w:hint="eastAsia" w:ascii="宋体" w:hAnsi="宋体" w:eastAsia="宋体" w:cs="宋体"/>
              </w:rPr>
            </w:pPr>
            <w:r>
              <w:rPr>
                <w:rFonts w:hint="eastAsia" w:ascii="宋体" w:hAnsi="宋体" w:cs="宋体"/>
                <w:lang w:eastAsia="zh-CN"/>
              </w:rPr>
              <w:t xml:space="preserve">10.</w:t>
            </w:r>
            <w:r>
              <w:rPr>
                <w:rFonts w:hint="eastAsia" w:ascii="宋体" w:hAnsi="宋体" w:eastAsia="宋体" w:cs="宋体"/>
              </w:rPr>
              <w:t xml:space="preserve">设备可对监控范围内出现的行人、机动车、非机动车进行检测和抓拍。</w:t>
            </w:r>
            <w:r/>
          </w:p>
          <w:p>
            <w:pPr>
              <w:rPr>
                <w:rFonts w:hint="eastAsia" w:ascii="宋体" w:hAnsi="宋体" w:eastAsia="宋体" w:cs="宋体"/>
              </w:rPr>
            </w:pPr>
            <w:r>
              <w:rPr>
                <w:rFonts w:hint="eastAsia" w:ascii="宋体" w:hAnsi="宋体" w:cs="宋体"/>
                <w:lang w:eastAsia="zh-CN"/>
              </w:rPr>
              <w:t xml:space="preserve">11.</w:t>
            </w:r>
            <w:r>
              <w:rPr>
                <w:rFonts w:hint="eastAsia" w:ascii="宋体" w:hAnsi="宋体" w:eastAsia="宋体" w:cs="宋体"/>
              </w:rPr>
              <w:t xml:space="preserve">SD卡扩展：支持Micro SD/Micro SDHC/Micro SDXC卡</w:t>
            </w:r>
            <w:r>
              <w:rPr>
                <w:rFonts w:hint="eastAsia" w:ascii="宋体" w:hAnsi="宋体" w:cs="宋体"/>
                <w:lang w:eastAsia="zh-CN"/>
              </w:rPr>
              <w:t xml:space="preserve">，</w:t>
            </w:r>
            <w:r>
              <w:rPr>
                <w:rFonts w:hint="eastAsia" w:ascii="宋体" w:hAnsi="宋体" w:eastAsia="宋体" w:cs="宋体"/>
              </w:rPr>
              <w:t xml:space="preserve">最大支持256G。</w:t>
            </w:r>
            <w:r/>
          </w:p>
          <w:p>
            <w:pPr>
              <w:rPr>
                <w:rFonts w:hint="eastAsia" w:ascii="宋体" w:hAnsi="宋体" w:eastAsia="宋体" w:cs="宋体"/>
                <w:color w:val="000000"/>
                <w:szCs w:val="21"/>
              </w:rPr>
            </w:pPr>
            <w:r>
              <w:rPr>
                <w:rFonts w:hint="eastAsia" w:ascii="宋体" w:hAnsi="宋体" w:cs="宋体"/>
                <w:lang w:eastAsia="zh-CN"/>
              </w:rPr>
              <w:t xml:space="preserve">12.</w:t>
            </w:r>
            <w:r>
              <w:rPr>
                <w:rFonts w:hint="eastAsia" w:ascii="宋体" w:hAnsi="宋体" w:eastAsia="宋体" w:cs="宋体"/>
              </w:rPr>
              <w:t xml:space="preserve">防护等级IP67，符合GB/T17626.2/3/4/5/6四级标准。</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p>
        </w:tc>
      </w:tr>
      <w:tr>
        <w:trPr>
          <w:jc w:val="center"/>
          <w:trHeight w:val="540"/>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云台小球</w:t>
            </w:r>
            <w:r/>
          </w:p>
        </w:tc>
        <w:tc>
          <w:tcPr>
            <w:tcW w:w="6334" w:type="dxa"/>
            <w:vAlign w:val="center"/>
            <w:textDirection w:val="lrTb"/>
            <w:noWrap w:val="false"/>
          </w:tcPr>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最大支持2560×1440 @30 fps高清画面输出</w:t>
            </w:r>
            <w:r/>
          </w:p>
          <w:p>
            <w:pPr>
              <w:rPr>
                <w:rFonts w:hint="eastAsia" w:ascii="宋体" w:hAnsi="宋体" w:eastAsia="宋体" w:cs="宋体"/>
              </w:rPr>
            </w:pPr>
            <w:r>
              <w:rPr>
                <w:rFonts w:hint="eastAsia" w:ascii="宋体" w:hAnsi="宋体" w:cs="宋体"/>
                <w:lang w:eastAsia="zh-CN"/>
              </w:rPr>
              <w:t xml:space="preserve">2.</w:t>
            </w:r>
            <w:r>
              <w:rPr>
                <w:rFonts w:hint="eastAsia" w:ascii="宋体" w:hAnsi="宋体" w:eastAsia="宋体" w:cs="宋体"/>
              </w:rPr>
              <w:t xml:space="preserve">支持4倍光学变倍，16倍数字变倍</w:t>
            </w:r>
            <w:r/>
          </w:p>
          <w:p>
            <w:pPr>
              <w:rPr>
                <w:rFonts w:hint="eastAsia" w:ascii="宋体" w:hAnsi="宋体" w:eastAsia="宋体" w:cs="宋体"/>
              </w:rPr>
            </w:pPr>
            <w:r>
              <w:rPr>
                <w:rFonts w:hint="eastAsia" w:ascii="宋体" w:hAnsi="宋体" w:cs="宋体"/>
                <w:lang w:eastAsia="zh-CN"/>
              </w:rPr>
              <w:t xml:space="preserve">3.</w:t>
            </w:r>
            <w:r>
              <w:rPr>
                <w:rFonts w:hint="eastAsia" w:ascii="宋体" w:hAnsi="宋体" w:eastAsia="宋体" w:cs="宋体"/>
              </w:rPr>
              <w:t xml:space="preserve">支持350°水平旋转，垂直方向0°~90°</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支持高效红外阵列补光，红外补光距离30m；夜间可手动配置白光补光模式，补光距离10m，支持智能补光模式。</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内置麦克风和扬声器，支持双向语音对讲。</w:t>
            </w:r>
            <w:r/>
          </w:p>
          <w:p>
            <w:pPr>
              <w:rPr>
                <w:rFonts w:hint="eastAsia" w:ascii="宋体" w:hAnsi="宋体" w:eastAsia="宋体" w:cs="宋体"/>
              </w:rPr>
            </w:pPr>
            <w:r>
              <w:rPr>
                <w:rFonts w:hint="eastAsia" w:ascii="宋体" w:hAnsi="宋体" w:cs="宋体"/>
                <w:lang w:eastAsia="zh-CN"/>
              </w:rPr>
              <w:t xml:space="preserve">6.</w:t>
            </w:r>
            <w:r>
              <w:rPr>
                <w:rFonts w:hint="eastAsia" w:ascii="宋体" w:hAnsi="宋体" w:eastAsia="宋体" w:cs="宋体"/>
              </w:rPr>
              <w:t xml:space="preserve">支持预置点巡航，支持300个预置位，支持定时抓图、事件抓图、一键巡航、一键守望。</w:t>
            </w:r>
            <w:r/>
          </w:p>
          <w:p>
            <w:pPr>
              <w:rPr>
                <w:rFonts w:hint="eastAsia" w:ascii="宋体" w:hAnsi="宋体" w:eastAsia="宋体" w:cs="宋体"/>
              </w:rPr>
            </w:pPr>
            <w:r>
              <w:rPr>
                <w:rFonts w:hint="eastAsia" w:ascii="宋体" w:hAnsi="宋体" w:cs="宋体"/>
                <w:lang w:eastAsia="zh-CN"/>
              </w:rPr>
              <w:t xml:space="preserve">7.</w:t>
            </w:r>
            <w:r>
              <w:rPr>
                <w:rFonts w:hint="eastAsia" w:ascii="宋体" w:hAnsi="宋体" w:eastAsia="宋体" w:cs="宋体"/>
              </w:rPr>
              <w:t xml:space="preserve">3D定位等功能</w:t>
            </w:r>
            <w:r/>
          </w:p>
          <w:p>
            <w:pPr>
              <w:rPr>
                <w:rFonts w:hint="eastAsia" w:ascii="宋体" w:hAnsi="宋体" w:eastAsia="宋体" w:cs="宋体"/>
              </w:rPr>
            </w:pPr>
            <w:r>
              <w:rPr>
                <w:rFonts w:hint="eastAsia" w:ascii="宋体" w:hAnsi="宋体" w:cs="宋体"/>
                <w:lang w:eastAsia="zh-CN"/>
              </w:rPr>
              <w:t xml:space="preserve">8.</w:t>
            </w:r>
            <w:r>
              <w:rPr>
                <w:rFonts w:hint="eastAsia" w:ascii="宋体" w:hAnsi="宋体" w:eastAsia="宋体" w:cs="宋体"/>
              </w:rPr>
              <w:t xml:space="preserve">支持真宽动态、3D数字降噪、强光抑制、smartIR等</w:t>
            </w:r>
            <w:r/>
          </w:p>
          <w:p>
            <w:pPr>
              <w:rPr>
                <w:rFonts w:hint="eastAsia" w:ascii="宋体" w:hAnsi="宋体" w:eastAsia="宋体" w:cs="宋体"/>
              </w:rPr>
            </w:pPr>
            <w:r>
              <w:rPr>
                <w:rFonts w:hint="eastAsia" w:ascii="宋体" w:hAnsi="宋体" w:cs="宋体"/>
                <w:lang w:eastAsia="zh-CN"/>
              </w:rPr>
              <w:t xml:space="preserve">9.</w:t>
            </w:r>
            <w:r>
              <w:rPr>
                <w:rFonts w:hint="eastAsia" w:ascii="宋体" w:hAnsi="宋体" w:eastAsia="宋体" w:cs="宋体"/>
              </w:rPr>
              <w:t xml:space="preserve">支持三码流模式；支持smart265智能编码，节省存储空间</w:t>
            </w:r>
            <w:r/>
          </w:p>
          <w:p>
            <w:pPr>
              <w:rPr>
                <w:rFonts w:hint="eastAsia" w:ascii="宋体" w:hAnsi="宋体" w:eastAsia="宋体" w:cs="宋体"/>
              </w:rPr>
            </w:pPr>
            <w:r>
              <w:rPr>
                <w:rFonts w:hint="eastAsia" w:ascii="宋体" w:hAnsi="宋体" w:cs="宋体"/>
                <w:lang w:eastAsia="zh-CN"/>
              </w:rPr>
              <w:t xml:space="preserve">10.</w:t>
            </w:r>
            <w:r>
              <w:rPr>
                <w:rFonts w:hint="eastAsia" w:ascii="宋体" w:hAnsi="宋体" w:eastAsia="宋体" w:cs="宋体"/>
              </w:rPr>
              <w:t xml:space="preserve">支持人形侦测功能，支持人形侦测联动声音报警</w:t>
            </w:r>
            <w:r/>
          </w:p>
          <w:p>
            <w:pPr>
              <w:rPr>
                <w:rFonts w:hint="eastAsia" w:ascii="宋体" w:hAnsi="宋体" w:eastAsia="宋体" w:cs="宋体"/>
                <w:color w:val="000000"/>
                <w:szCs w:val="21"/>
              </w:rPr>
            </w:pPr>
            <w:r>
              <w:rPr>
                <w:rFonts w:hint="eastAsia" w:ascii="宋体" w:hAnsi="宋体" w:cs="宋体"/>
                <w:lang w:eastAsia="zh-CN"/>
              </w:rPr>
              <w:t xml:space="preserve">11.</w:t>
            </w:r>
            <w:r>
              <w:rPr>
                <w:rFonts w:hint="eastAsia" w:ascii="宋体" w:hAnsi="宋体" w:eastAsia="宋体" w:cs="宋体"/>
              </w:rPr>
              <w:t xml:space="preserve">报警1进1出，音频1进1出</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58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124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全彩枪球一体摄像头</w:t>
            </w:r>
            <w:r/>
          </w:p>
        </w:tc>
        <w:tc>
          <w:tcPr>
            <w:tcW w:w="6334" w:type="dxa"/>
            <w:vAlign w:val="center"/>
            <w:textDirection w:val="lrTb"/>
            <w:noWrap w:val="false"/>
          </w:tcPr>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设备内置两个镜头，细节通道视频图像分辨率不小于2688×1520，全景通道视频图像分辨率不小于2688×1520</w:t>
            </w:r>
            <w:r/>
          </w:p>
          <w:p>
            <w:pPr>
              <w:rPr>
                <w:rFonts w:hint="eastAsia" w:ascii="宋体" w:hAnsi="宋体" w:eastAsia="宋体" w:cs="宋体"/>
              </w:rPr>
            </w:pPr>
            <w:r>
              <w:rPr>
                <w:rFonts w:hint="eastAsia" w:ascii="宋体" w:hAnsi="宋体" w:cs="宋体"/>
                <w:lang w:eastAsia="zh-CN"/>
              </w:rPr>
              <w:t xml:space="preserve">2.</w:t>
            </w:r>
            <w:r>
              <w:rPr>
                <w:rFonts w:hint="eastAsia" w:ascii="宋体" w:hAnsi="宋体" w:eastAsia="宋体" w:cs="宋体"/>
              </w:rPr>
              <w:t xml:space="preserve">内置2颗GPU芯片，全景视频图像内置1个镜头，光圈不小于F1.0，具有不小于1/1.8靶面尺寸</w:t>
            </w:r>
            <w:r>
              <w:rPr>
                <w:rFonts w:hint="eastAsia" w:ascii="宋体" w:hAnsi="宋体" w:cs="宋体"/>
                <w:lang w:eastAsia="zh-CN"/>
              </w:rPr>
              <w:t xml:space="preserve">，</w:t>
            </w:r>
            <w:r>
              <w:rPr>
                <w:rFonts w:hint="eastAsia" w:ascii="宋体" w:hAnsi="宋体" w:eastAsia="宋体" w:cs="宋体"/>
              </w:rPr>
              <w:t xml:space="preserve">细节视频图像内置1个镜头，具有不小于1/1.8靶面尺寸</w:t>
            </w:r>
            <w:r/>
          </w:p>
          <w:p>
            <w:pPr>
              <w:rPr>
                <w:rFonts w:hint="eastAsia" w:ascii="宋体" w:hAnsi="宋体" w:eastAsia="宋体" w:cs="宋体"/>
              </w:rPr>
            </w:pPr>
            <w:r>
              <w:rPr>
                <w:rFonts w:hint="eastAsia" w:ascii="宋体" w:hAnsi="宋体" w:cs="宋体"/>
                <w:lang w:eastAsia="zh-CN"/>
              </w:rPr>
              <w:t xml:space="preserve">3.</w:t>
            </w:r>
            <w:r>
              <w:rPr>
                <w:rFonts w:hint="eastAsia" w:ascii="宋体" w:hAnsi="宋体" w:eastAsia="宋体" w:cs="宋体"/>
              </w:rPr>
              <w:t xml:space="preserve">细节视频图像内置1个镜头，支持不小于32倍光学变倍，镜头最大焦距不小于188mm</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最低照度：全景通道彩色≤0.0005lx，黑白≤0.0001lx，细节通道彩色≤0.0005lx，黑白≤0.0001lx</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水平旋转范围360°连续旋转，垂直旋转范围-20°~90°</w:t>
            </w:r>
            <w:r/>
          </w:p>
          <w:p>
            <w:pPr>
              <w:rPr>
                <w:rFonts w:hint="eastAsia" w:ascii="宋体" w:hAnsi="宋体" w:eastAsia="宋体" w:cs="宋体"/>
              </w:rPr>
            </w:pPr>
            <w:r>
              <w:rPr>
                <w:rFonts w:hint="eastAsia" w:ascii="宋体" w:hAnsi="宋体" w:cs="宋体"/>
                <w:lang w:eastAsia="zh-CN"/>
              </w:rPr>
              <w:t xml:space="preserve">6.</w:t>
            </w:r>
            <w:r>
              <w:rPr>
                <w:rFonts w:hint="eastAsia" w:ascii="宋体" w:hAnsi="宋体" w:eastAsia="宋体" w:cs="宋体"/>
              </w:rPr>
              <w:t xml:space="preserve">具有AI-ISP图像质量提升功能，在低照度环境下，可自动调节预览场景视频画面中人脸、人体、车辆等目标及预览场景视频画面的区域曝光、亮度、色彩饱和度、对比度、锐度等</w:t>
            </w:r>
            <w:r/>
          </w:p>
          <w:p>
            <w:pPr>
              <w:rPr>
                <w:rFonts w:hint="eastAsia" w:ascii="宋体" w:hAnsi="宋体" w:eastAsia="宋体" w:cs="宋体"/>
              </w:rPr>
            </w:pPr>
            <w:r>
              <w:rPr>
                <w:rFonts w:hint="eastAsia" w:ascii="宋体" w:hAnsi="宋体" w:cs="宋体"/>
                <w:lang w:eastAsia="zh-CN"/>
              </w:rPr>
              <w:t xml:space="preserve">7.</w:t>
            </w:r>
            <w:r>
              <w:rPr>
                <w:rFonts w:hint="eastAsia" w:ascii="宋体" w:hAnsi="宋体" w:eastAsia="宋体" w:cs="宋体"/>
              </w:rPr>
              <w:t xml:space="preserve">补光灯距离：【全景】暖白光30米；【细节】暖白光50米，红外200米</w:t>
            </w:r>
            <w:r/>
          </w:p>
          <w:p>
            <w:pPr>
              <w:rPr>
                <w:rFonts w:hint="eastAsia" w:ascii="宋体" w:hAnsi="宋体" w:eastAsia="宋体" w:cs="宋体"/>
              </w:rPr>
            </w:pPr>
            <w:r>
              <w:rPr>
                <w:rFonts w:hint="eastAsia" w:ascii="宋体" w:hAnsi="宋体" w:cs="宋体"/>
                <w:lang w:eastAsia="zh-CN"/>
              </w:rPr>
              <w:t xml:space="preserve">8.</w:t>
            </w:r>
            <w:r>
              <w:rPr>
                <w:rFonts w:hint="eastAsia" w:ascii="宋体" w:hAnsi="宋体" w:eastAsia="宋体" w:cs="宋体"/>
              </w:rPr>
              <w:t xml:space="preserve">内置扬声器：1个内置扬声器，有效距离可达20 m，网络接口：支持100M网络数据</w:t>
            </w:r>
            <w:r>
              <w:rPr>
                <w:rFonts w:hint="eastAsia" w:ascii="宋体" w:hAnsi="宋体" w:cs="宋体"/>
                <w:lang w:eastAsia="zh-CN"/>
              </w:rPr>
              <w:t xml:space="preserve">，</w:t>
            </w:r>
            <w:r>
              <w:rPr>
                <w:rFonts w:hint="eastAsia" w:ascii="宋体" w:hAnsi="宋体" w:eastAsia="宋体" w:cs="宋体"/>
              </w:rPr>
              <w:t xml:space="preserve">RJ45网口</w:t>
            </w:r>
            <w:r>
              <w:rPr>
                <w:rFonts w:hint="eastAsia" w:ascii="宋体" w:hAnsi="宋体" w:cs="宋体"/>
                <w:lang w:eastAsia="zh-CN"/>
              </w:rPr>
              <w:t xml:space="preserve">，</w:t>
            </w:r>
            <w:r>
              <w:rPr>
                <w:rFonts w:hint="eastAsia" w:ascii="宋体" w:hAnsi="宋体" w:eastAsia="宋体" w:cs="宋体"/>
              </w:rPr>
              <w:t xml:space="preserve">自适应网络数据，SD卡扩展：内置Micro SD卡插槽</w:t>
            </w:r>
            <w:r>
              <w:rPr>
                <w:rFonts w:hint="eastAsia" w:ascii="宋体" w:hAnsi="宋体" w:cs="宋体"/>
                <w:lang w:eastAsia="zh-CN"/>
              </w:rPr>
              <w:t xml:space="preserve">，</w:t>
            </w:r>
            <w:r>
              <w:rPr>
                <w:rFonts w:hint="eastAsia" w:ascii="宋体" w:hAnsi="宋体" w:eastAsia="宋体" w:cs="宋体"/>
              </w:rPr>
              <w:t xml:space="preserve">支持Micro SD/Micro SDHC/Micro SDXC卡</w:t>
            </w:r>
            <w:r>
              <w:rPr>
                <w:rFonts w:hint="eastAsia" w:ascii="宋体" w:hAnsi="宋体" w:cs="宋体"/>
                <w:lang w:eastAsia="zh-CN"/>
              </w:rPr>
              <w:t xml:space="preserve">，</w:t>
            </w:r>
            <w:r>
              <w:rPr>
                <w:rFonts w:hint="eastAsia" w:ascii="宋体" w:hAnsi="宋体" w:eastAsia="宋体" w:cs="宋体"/>
              </w:rPr>
              <w:t xml:space="preserve">最大支持512 GB</w:t>
            </w:r>
            <w:r/>
          </w:p>
          <w:p>
            <w:pPr>
              <w:rPr>
                <w:rFonts w:hint="eastAsia" w:ascii="宋体" w:hAnsi="宋体" w:eastAsia="宋体" w:cs="宋体"/>
              </w:rPr>
            </w:pPr>
            <w:r>
              <w:rPr>
                <w:rFonts w:hint="eastAsia" w:ascii="宋体" w:hAnsi="宋体" w:cs="宋体"/>
                <w:lang w:eastAsia="zh-CN"/>
              </w:rPr>
              <w:t xml:space="preserve">9.</w:t>
            </w:r>
            <w:r>
              <w:rPr>
                <w:rFonts w:hint="eastAsia" w:ascii="宋体" w:hAnsi="宋体" w:eastAsia="宋体" w:cs="宋体"/>
              </w:rPr>
              <w:t xml:space="preserve">支持7路报警输入、2路报警输出、1路音频输入、1路音频输出</w:t>
            </w:r>
            <w:r/>
          </w:p>
          <w:p>
            <w:pPr>
              <w:rPr>
                <w:rFonts w:hint="eastAsia" w:ascii="宋体" w:hAnsi="宋体" w:eastAsia="宋体" w:cs="宋体"/>
                <w:color w:val="000000"/>
                <w:szCs w:val="21"/>
              </w:rPr>
            </w:pPr>
            <w:r>
              <w:rPr>
                <w:rFonts w:hint="eastAsia" w:ascii="宋体" w:hAnsi="宋体" w:cs="宋体"/>
                <w:lang w:eastAsia="zh-CN"/>
              </w:rPr>
              <w:t xml:space="preserve">10.</w:t>
            </w:r>
            <w:r>
              <w:rPr>
                <w:rFonts w:hint="eastAsia" w:ascii="宋体" w:hAnsi="宋体" w:eastAsia="宋体" w:cs="宋体"/>
              </w:rPr>
              <w:t xml:space="preserve">外壳防护等级不低于IP67</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58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8</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卡片式测温热像仪</w:t>
            </w:r>
            <w:r/>
          </w:p>
        </w:tc>
        <w:tc>
          <w:tcPr>
            <w:tcW w:w="63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热成像镜头：</w:t>
            </w:r>
            <w:r/>
          </w:p>
          <w:p>
            <w:pPr>
              <w:rPr>
                <w:rFonts w:hint="eastAsia" w:ascii="宋体" w:hAnsi="宋体" w:eastAsia="宋体" w:cs="宋体"/>
              </w:rPr>
            </w:pPr>
            <w:r>
              <w:rPr>
                <w:rFonts w:hint="eastAsia" w:ascii="宋体" w:hAnsi="宋体" w:cs="宋体"/>
                <w:szCs w:val="24"/>
                <w:lang w:eastAsia="zh-CN"/>
              </w:rPr>
              <w:t xml:space="preserve">1.</w:t>
            </w:r>
            <w:r>
              <w:rPr>
                <w:rFonts w:hint="eastAsia" w:ascii="宋体" w:hAnsi="宋体" w:eastAsia="宋体" w:cs="宋体"/>
              </w:rPr>
              <w:t xml:space="preserve">热成像传感器类型：氧化钒非制冷型探测器</w:t>
            </w:r>
            <w:r>
              <w:rPr>
                <w:rFonts w:hint="eastAsia" w:ascii="宋体" w:hAnsi="宋体" w:eastAsia="宋体" w:cs="宋体"/>
              </w:rPr>
              <w:br/>
            </w:r>
            <w:r>
              <w:rPr>
                <w:rFonts w:hint="eastAsia" w:ascii="宋体" w:hAnsi="宋体" w:eastAsia="宋体" w:cs="宋体"/>
              </w:rPr>
              <w:t xml:space="preserve">2、热成像分辨率不低于256×192</w:t>
            </w:r>
            <w:r>
              <w:rPr>
                <w:rFonts w:hint="eastAsia" w:ascii="宋体" w:hAnsi="宋体" w:eastAsia="宋体" w:cs="宋体"/>
              </w:rPr>
              <w:br/>
            </w:r>
            <w:r>
              <w:rPr>
                <w:rFonts w:hint="eastAsia" w:ascii="宋体" w:hAnsi="宋体" w:eastAsia="宋体" w:cs="宋体"/>
              </w:rPr>
              <w:t xml:space="preserve">3、热成像帧频不低于25fps</w:t>
            </w:r>
            <w:r>
              <w:rPr>
                <w:rFonts w:hint="eastAsia" w:ascii="宋体" w:hAnsi="宋体" w:eastAsia="宋体" w:cs="宋体"/>
              </w:rPr>
              <w:br/>
            </w:r>
            <w:r>
              <w:rPr>
                <w:rFonts w:hint="eastAsia" w:ascii="宋体" w:hAnsi="宋体" w:eastAsia="宋体" w:cs="宋体"/>
              </w:rPr>
              <w:t xml:space="preserve">4、热成像像元尺寸不低于12μm</w:t>
            </w:r>
            <w:r>
              <w:rPr>
                <w:rFonts w:hint="eastAsia" w:ascii="宋体" w:hAnsi="宋体" w:eastAsia="宋体" w:cs="宋体"/>
              </w:rPr>
              <w:br/>
            </w:r>
            <w:r>
              <w:rPr>
                <w:rFonts w:hint="eastAsia" w:ascii="宋体" w:hAnsi="宋体" w:eastAsia="宋体" w:cs="宋体"/>
              </w:rPr>
              <w:t xml:space="preserve">5、噪声等效温差NETD：</w:t>
            </w:r>
            <w:r>
              <w:rPr>
                <w:rFonts w:hint="eastAsia" w:ascii="微软雅黑" w:hAnsi="微软雅黑" w:eastAsia="微软雅黑" w:cs="微软雅黑"/>
                <w:lang w:eastAsia="zh-CN"/>
              </w:rPr>
              <w:t xml:space="preserve">≤</w:t>
            </w:r>
            <w:r>
              <w:rPr>
                <w:rFonts w:hint="eastAsia" w:ascii="宋体" w:hAnsi="宋体" w:eastAsia="宋体" w:cs="宋体"/>
              </w:rPr>
              <w:t xml:space="preserve">40mk(@30°C,F#=1.0)</w:t>
            </w:r>
            <w:r>
              <w:rPr>
                <w:rFonts w:hint="eastAsia" w:ascii="宋体" w:hAnsi="宋体" w:eastAsia="宋体" w:cs="宋体"/>
              </w:rPr>
              <w:br/>
            </w:r>
            <w:r>
              <w:rPr>
                <w:rFonts w:hint="eastAsia" w:ascii="宋体" w:hAnsi="宋体" w:eastAsia="宋体" w:cs="宋体"/>
              </w:rPr>
              <w:t xml:space="preserve">6、热成像焦距：2.1mm</w:t>
            </w:r>
            <w:r>
              <w:rPr>
                <w:rFonts w:hint="eastAsia" w:ascii="宋体" w:hAnsi="宋体" w:eastAsia="宋体" w:cs="宋体"/>
              </w:rPr>
              <w:br/>
            </w:r>
            <w:r>
              <w:rPr>
                <w:rFonts w:hint="eastAsia" w:ascii="宋体" w:hAnsi="宋体" w:eastAsia="宋体" w:cs="宋体"/>
              </w:rPr>
              <w:t xml:space="preserve">7、热成像最大光圈值：F1.0</w:t>
            </w:r>
            <w:r/>
          </w:p>
          <w:p>
            <w:pPr>
              <w:rPr>
                <w:rFonts w:hint="eastAsia" w:ascii="宋体" w:hAnsi="宋体" w:eastAsia="宋体" w:cs="宋体"/>
              </w:rPr>
            </w:pPr>
            <w:r>
              <w:rPr>
                <w:rFonts w:hint="eastAsia" w:ascii="宋体" w:hAnsi="宋体" w:cs="宋体"/>
                <w:lang w:eastAsia="zh-CN"/>
              </w:rPr>
              <w:t xml:space="preserve">8.</w:t>
            </w:r>
            <w:r>
              <w:rPr>
                <w:rFonts w:hint="eastAsia" w:ascii="宋体" w:hAnsi="宋体" w:eastAsia="宋体" w:cs="宋体"/>
              </w:rPr>
              <w:t xml:space="preserve">热成像近摄距：0.1m</w:t>
            </w:r>
            <w:r>
              <w:rPr>
                <w:rFonts w:hint="eastAsia" w:ascii="宋体" w:hAnsi="宋体" w:eastAsia="宋体" w:cs="宋体"/>
              </w:rPr>
              <w:br/>
            </w:r>
            <w:r>
              <w:rPr>
                <w:rFonts w:hint="eastAsia" w:ascii="宋体" w:hAnsi="宋体" w:eastAsia="宋体" w:cs="宋体"/>
              </w:rPr>
              <w:t xml:space="preserve">9、目标物最远测温距离（以0.1×0.1米为准）：3m</w:t>
            </w:r>
            <w:r/>
          </w:p>
          <w:p>
            <w:pPr>
              <w:rPr>
                <w:rFonts w:hint="eastAsia" w:ascii="宋体" w:hAnsi="宋体" w:eastAsia="宋体" w:cs="宋体"/>
              </w:rPr>
            </w:pPr>
            <w:r>
              <w:rPr>
                <w:rFonts w:hint="eastAsia" w:ascii="宋体" w:hAnsi="宋体" w:eastAsia="宋体" w:cs="宋体"/>
              </w:rPr>
              <w:t xml:space="preserve">可见光镜头：</w:t>
            </w:r>
            <w:r/>
          </w:p>
          <w:p>
            <w:pPr>
              <w:numPr>
                <w:ilvl w:val="0"/>
                <w:numId w:val="6"/>
              </w:numPr>
              <w:rPr>
                <w:rFonts w:hint="eastAsia" w:ascii="宋体" w:hAnsi="宋体" w:eastAsia="宋体" w:cs="宋体"/>
                <w:color w:val="000000"/>
                <w:szCs w:val="21"/>
              </w:rPr>
            </w:pPr>
            <w:r>
              <w:rPr>
                <w:rFonts w:hint="eastAsia" w:ascii="宋体" w:hAnsi="宋体" w:eastAsia="宋体" w:cs="宋体"/>
              </w:rPr>
              <w:t xml:space="preserve">可见光分辨率：2688×1520</w:t>
            </w:r>
            <w:r>
              <w:rPr>
                <w:rFonts w:hint="eastAsia" w:ascii="宋体" w:hAnsi="宋体" w:eastAsia="宋体" w:cs="宋体"/>
              </w:rPr>
              <w:br/>
            </w:r>
            <w:r>
              <w:rPr>
                <w:rFonts w:hint="eastAsia" w:ascii="宋体" w:hAnsi="宋体" w:eastAsia="宋体" w:cs="宋体"/>
              </w:rPr>
              <w:t xml:space="preserve">2、可见光焦距：1.4mm</w:t>
            </w:r>
            <w:r>
              <w:rPr>
                <w:rFonts w:hint="eastAsia" w:ascii="宋体" w:hAnsi="宋体" w:eastAsia="宋体" w:cs="宋体"/>
              </w:rPr>
              <w:br/>
            </w:r>
            <w:r>
              <w:rPr>
                <w:rFonts w:hint="eastAsia" w:ascii="宋体" w:hAnsi="宋体" w:eastAsia="宋体" w:cs="宋体"/>
              </w:rPr>
              <w:t xml:space="preserve">3、最低照度：0.06Lux</w:t>
            </w:r>
            <w:r>
              <w:rPr>
                <w:rFonts w:hint="eastAsia" w:ascii="宋体" w:hAnsi="宋体" w:cs="宋体"/>
                <w:lang w:eastAsia="zh-CN"/>
              </w:rPr>
              <w:t xml:space="preserve">（</w:t>
            </w:r>
            <w:r>
              <w:rPr>
                <w:rFonts w:hint="eastAsia" w:ascii="宋体" w:hAnsi="宋体" w:eastAsia="宋体" w:cs="宋体"/>
              </w:rPr>
              <w:t xml:space="preserve">彩色）</w:t>
            </w:r>
            <w:r>
              <w:rPr>
                <w:rFonts w:hint="eastAsia" w:ascii="宋体" w:hAnsi="宋体" w:eastAsia="宋体" w:cs="宋体"/>
              </w:rPr>
              <w:br/>
            </w:r>
            <w:r>
              <w:rPr>
                <w:rFonts w:hint="eastAsia" w:ascii="宋体" w:hAnsi="宋体" w:eastAsia="宋体" w:cs="宋体"/>
              </w:rPr>
              <w:t xml:space="preserve">4、可见光补光功能：白光补光最远3.5m</w:t>
            </w:r>
            <w:r>
              <w:rPr>
                <w:rFonts w:hint="eastAsia" w:ascii="宋体" w:hAnsi="宋体" w:eastAsia="宋体" w:cs="宋体"/>
              </w:rPr>
              <w:br/>
            </w:r>
            <w:r>
              <w:rPr>
                <w:rFonts w:hint="eastAsia" w:ascii="宋体" w:hAnsi="宋体" w:eastAsia="宋体" w:cs="宋体"/>
              </w:rPr>
              <w:t xml:space="preserve">5、双光融合：支持热成像通道融合可见光图像信息，提升热成像通道图像细节</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r>
      <w:tr>
        <w:trPr>
          <w:jc w:val="center"/>
          <w:trHeight w:val="407"/>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三</w:t>
            </w:r>
            <w:r/>
          </w:p>
        </w:tc>
        <w:tc>
          <w:tcPr>
            <w:gridSpan w:val="4"/>
            <w:tcW w:w="8775"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安装调试辅材</w:t>
            </w:r>
            <w:r/>
          </w:p>
        </w:tc>
      </w:tr>
      <w:tr>
        <w:trPr>
          <w:jc w:val="center"/>
          <w:trHeight w:val="367"/>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安装费</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jc w:val="center"/>
          <w:trHeight w:val="339"/>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辅材费</w:t>
            </w:r>
            <w:r/>
          </w:p>
        </w:tc>
        <w:tc>
          <w:tcPr>
            <w:tcW w:w="6334"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每项具体工程量以现场实际安装所需要为准</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Height w:val="588"/>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不锈钢立杆</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采用304不锈钢变径杆，3.5</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5m高度；下管 Φ114/140、壁厚≥3mm，上管 Φ76/89、壁厚≥2.5mm</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r>
      <w:tr>
        <w:trPr>
          <w:jc w:val="center"/>
          <w:trHeight w:val="90"/>
        </w:trPr>
        <w:tc>
          <w:tcPr>
            <w:tcW w:w="657"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桥架</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槽式封闭桥架（带盖板），弱电监控专用；</w:t>
            </w:r>
            <w:r/>
          </w:p>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规格：100×100mm；主干 200×100mm； 壁厚：槽体≥1.2mm，盖板≥1.0mm；材质防腐：室内喷塑；安装：支架间距 1.5m，接地可靠，防火封堵； 要求：弱电专用，强弱电隔离，填充率≤50%。</w:t>
            </w:r>
            <w:r/>
          </w:p>
        </w:tc>
        <w:tc>
          <w:tcPr>
            <w:tcW w:w="6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米</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400</w:t>
            </w:r>
            <w:r/>
          </w:p>
        </w:tc>
      </w:tr>
      <w:tr>
        <w:trPr>
          <w:jc w:val="center"/>
          <w:trHeight w:val="366"/>
        </w:trPr>
        <w:tc>
          <w:tcPr>
            <w:tcW w:w="65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网线</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POE供电电源线3×1.5mm</w:t>
            </w:r>
            <w:r>
              <w:rPr>
                <w:rFonts w:hint="eastAsia" w:ascii="宋体" w:hAnsi="宋体" w:eastAsia="宋体" w:cs="宋体"/>
                <w:color w:val="000000"/>
                <w:szCs w:val="21"/>
                <w:vertAlign w:val="superscript"/>
              </w:rPr>
              <w:t xml:space="preserve">2 </w:t>
            </w:r>
            <w:r>
              <w:rPr>
                <w:rFonts w:hint="eastAsia" w:ascii="宋体" w:hAnsi="宋体" w:eastAsia="宋体" w:cs="宋体"/>
                <w:color w:val="000000"/>
                <w:szCs w:val="21"/>
              </w:rPr>
              <w:t xml:space="preserve">，超五类线</w:t>
            </w:r>
            <w:r/>
          </w:p>
        </w:tc>
        <w:tc>
          <w:tcPr>
            <w:tcW w:w="6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米</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750</w:t>
            </w:r>
            <w:r/>
          </w:p>
        </w:tc>
      </w:tr>
      <w:tr>
        <w:trPr>
          <w:jc w:val="center"/>
          <w:trHeight w:val="394"/>
        </w:trPr>
        <w:tc>
          <w:tcPr>
            <w:tcW w:w="65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电源线</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专用电源线2芯1.5mm</w:t>
            </w:r>
            <w:r>
              <w:rPr>
                <w:rFonts w:hint="eastAsia" w:ascii="宋体" w:hAnsi="宋体" w:eastAsia="宋体" w:cs="宋体"/>
                <w:color w:val="000000"/>
                <w:szCs w:val="21"/>
                <w:vertAlign w:val="superscript"/>
              </w:rPr>
              <w:t xml:space="preserve">2</w:t>
            </w:r>
            <w:r/>
          </w:p>
        </w:tc>
        <w:tc>
          <w:tcPr>
            <w:tcW w:w="6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米</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750</w:t>
            </w:r>
            <w:r/>
          </w:p>
        </w:tc>
      </w:tr>
      <w:tr>
        <w:trPr>
          <w:jc w:val="center"/>
          <w:trHeight w:val="598"/>
        </w:trPr>
        <w:tc>
          <w:tcPr>
            <w:tcW w:w="657"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1240"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调试费</w:t>
            </w:r>
            <w:r/>
          </w:p>
        </w:tc>
        <w:tc>
          <w:tcPr>
            <w:tcW w:w="6334"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与原系统监视系统和视频超脑对接，原摄像机及新增摄像机调试，一键顺控功能调试等</w:t>
            </w:r>
            <w:r/>
          </w:p>
        </w:tc>
        <w:tc>
          <w:tcPr>
            <w:tcW w:w="6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60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2"/>
        <w:rPr>
          <w:rFonts w:hint="eastAsia" w:ascii="宋体" w:hAnsi="宋体" w:eastAsia="宋体" w:cs="宋体"/>
          <w:b/>
          <w:bCs/>
          <w:sz w:val="24"/>
          <w:highlight w:val="lightGray"/>
        </w:rPr>
      </w:pPr>
      <w:r>
        <w:rPr>
          <w:rFonts w:hint="eastAsia" w:ascii="宋体" w:hAnsi="宋体" w:eastAsia="宋体" w:cs="宋体"/>
          <w:b/>
          <w:bCs/>
          <w:sz w:val="24"/>
          <w:highlight w:val="lightGray"/>
        </w:rPr>
        <w:t xml:space="preserve">2.皂河站主变及GIS开关监测改造设备清单</w:t>
      </w:r>
      <w:r/>
    </w:p>
    <w:tbl>
      <w:tblPr>
        <w:tblStyle w:val="834"/>
        <w:tblpPr w:horzAnchor="page" w:tblpX="1380" w:vertAnchor="text" w:tblpY="464" w:leftFromText="180" w:topFromText="0" w:rightFromText="180" w:bottomFromText="0"/>
        <w:tblW w:w="9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36"/>
        <w:gridCol w:w="5150"/>
        <w:gridCol w:w="818"/>
        <w:gridCol w:w="903"/>
      </w:tblGrid>
      <w:tr>
        <w:trPr>
          <w:trHeight w:val="384"/>
        </w:trPr>
        <w:tc>
          <w:tcPr>
            <w:tcW w:w="751"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color w:val="000000"/>
                <w:szCs w:val="21"/>
              </w:rPr>
              <w:t xml:space="preserve">序号</w:t>
            </w:r>
            <w:r/>
          </w:p>
        </w:tc>
        <w:tc>
          <w:tcPr>
            <w:tcW w:w="1636"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color w:val="000000"/>
                <w:szCs w:val="21"/>
              </w:rPr>
              <w:t xml:space="preserve">设备名称</w:t>
            </w:r>
            <w:r/>
          </w:p>
        </w:tc>
        <w:tc>
          <w:tcPr>
            <w:tcW w:w="5150"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color w:val="000000"/>
                <w:szCs w:val="21"/>
              </w:rPr>
              <w:t xml:space="preserve">规格参数及特征描述</w:t>
            </w:r>
            <w:r/>
          </w:p>
        </w:tc>
        <w:tc>
          <w:tcPr>
            <w:tcW w:w="818"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color w:val="000000"/>
                <w:szCs w:val="21"/>
              </w:rPr>
              <w:t xml:space="preserve">单位</w:t>
            </w:r>
            <w:r/>
          </w:p>
        </w:tc>
        <w:tc>
          <w:tcPr>
            <w:tcW w:w="903"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color w:val="000000"/>
                <w:szCs w:val="21"/>
              </w:rPr>
              <w:t xml:space="preserve">数量</w:t>
            </w:r>
            <w:r/>
          </w:p>
        </w:tc>
      </w:tr>
      <w:tr>
        <w:trPr>
          <w:trHeight w:val="90"/>
        </w:trPr>
        <w:tc>
          <w:tcPr>
            <w:tcW w:w="751"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一</w:t>
            </w:r>
            <w:r/>
          </w:p>
        </w:tc>
        <w:tc>
          <w:tcPr>
            <w:gridSpan w:val="4"/>
            <w:tcW w:w="8507"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变压器</w:t>
            </w:r>
            <w:r/>
          </w:p>
        </w:tc>
      </w:tr>
      <w:tr>
        <w:trPr>
          <w:trHeight w:val="244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163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主变特高频局放传感器（油阀式）</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变压器油阀式特高频局放传感器采用变压器专用油阀法兰嵌入式安装，无源免供电设计，工作频段300MHz～1500MHz、检测灵敏度≤5pC、等效高度≥10mm、全频段驻波比≤1.5，标准50Ω阻抗匹配，适配N型防水射频接口，可耐受最高120℃油温、5bar油压工况，具备IP67防护等级与四级电磁兼容抗干扰能力，可在变压器强电磁、高温油浸环境下纳秒级精准捕捉内部局放脉冲信号，免校准免维护，可稳定对接监测IED完成局放数据采集、分析、趋势研判及故障告警，含不锈钢三通、阀门。</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tcW w:w="903"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rHeight w:val="1997"/>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163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▲主变特高频局放IED</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局部放电通道数量：≤16CHs；通讯接口：光纤/网线；特高频电检测动态范围：-80~-5dBm；特高频检测频率带宽：300MHz~3GHz；高频输入灵敏度：1.2mV；通信速度：100M/S；通信模块：TCP Server；保险丝规格：250V/3A；功耗：20W；工作电压：AC 220V；工作频率：50Hz；工作温度：-40~+70℃；工作湿度：＜95%，无凝露。</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tcW w:w="903"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rHeight w:val="2142"/>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163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主变高频电流局放传感器</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高频电流（HFCT）局放传感器为开合式无源非侵入安装结构，适配变压器、高压电缆及接地线局放在线监测，工作频带1MHz～30MHz、检测灵敏度≤5pC、测量范围5pC～10000pC，纳秒级脉冲响应，抗电磁干扰能力强，具备IP67防护等级、宽温环境适应性，无需断电施工、免校准免维护，可精准耦合捕捉高频局放脉冲电流信号，稳定接入监测IED完成局放数据采集、分析、趋势研判及故障告警。</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tcW w:w="903"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163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rPr>
              <w:t xml:space="preserve">▲</w:t>
            </w:r>
            <w:r>
              <w:rPr>
                <w:rFonts w:hint="eastAsia" w:ascii="宋体" w:hAnsi="宋体" w:eastAsia="宋体" w:cs="宋体"/>
                <w:szCs w:val="21"/>
                <w:lang w:bidi="ar"/>
              </w:rPr>
              <w:t xml:space="preserve">主变高频电流局放IED</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高</w:t>
            </w:r>
            <w:r>
              <w:rPr>
                <w:rFonts w:hint="eastAsia" w:ascii="宋体" w:hAnsi="宋体" w:eastAsia="宋体" w:cs="宋体"/>
                <w:szCs w:val="21"/>
                <w:lang w:bidi="ar"/>
              </w:rPr>
              <w:t xml:space="preserve">频电流HFCT局放在线监测主机采用工业级嵌入式硬件设计，支持多路HFCT传感器同步接入，采样频率≥100MS/s、采样精度16bit，测量局放幅值范围5pC～10000pC，具备1MHz～30MHz高频信号滤波采集能力，可实现局放脉冲实时采集、波形存储、频次统计、相位分析及干扰甄别，支持IEC61850、Modbus通讯协议上送数据，具备IRIG-B/NTP对时、SOE事件记录、分级告警及本地存储功能，整机满足-40℃～+65℃宽温运行、高EMC电磁兼容抗干扰标准，适配变压器、电缆高压设备长期在线监测运行。</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tcW w:w="9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r>
      <w:tr>
        <w:trPr>
          <w:trHeight w:val="2970"/>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163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▲主变油色谱监测设备</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变压器油色谱在线监测主机采用全自动</w:t>
            </w:r>
            <w:r>
              <w:rPr>
                <w:rFonts w:hint="eastAsia" w:ascii="宋体" w:hAnsi="宋体" w:eastAsia="宋体" w:cs="宋体"/>
                <w:szCs w:val="21"/>
                <w:lang w:bidi="ar"/>
              </w:rPr>
              <w:t xml:space="preserve">脱气+气相色谱检测技术，可在线精准监测H2、CO、CO2、CH4、C2H4、C2H6、C2H2七组分溶解气体+微水及铁芯电流与总烃含量，气体检测精度≤0.1μL/L、重复性≤2%，具备自动进样、脱气、分析、基线校准功能，支持故障产气趋势分析、三比值故障诊断、超限分级告警，配备大容量本地数据存储，支持IEC61850、Modbus标准通讯及NTP/IRIG-B对时、SOE事件记录，整机满足-20℃～+60℃工业宽温运行及高等级EMC电磁兼容要求，可长期无人值守在线监测主变内部过热、放电、绝缘老化等潜伏性故障。</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tcW w:w="903"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rHeight w:val="90"/>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主变振动传感器</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主变振动传感器采用磁吸式高频振动检测结构</w:t>
            </w:r>
            <w:r>
              <w:rPr>
                <w:rFonts w:hint="eastAsia" w:ascii="宋体" w:hAnsi="宋体" w:cs="宋体"/>
                <w:szCs w:val="21"/>
                <w:lang w:eastAsia="zh-CN" w:bidi="ar"/>
              </w:rPr>
              <w:t xml:space="preserve">，具</w:t>
            </w:r>
            <w:r>
              <w:rPr>
                <w:rFonts w:hint="eastAsia" w:ascii="宋体" w:hAnsi="宋体" w:eastAsia="宋体" w:cs="宋体"/>
                <w:szCs w:val="21"/>
                <w:lang w:bidi="ar"/>
              </w:rPr>
              <w:t xml:space="preserve">备高灵敏拾取变压器本体机械振动时域、频谱信号能力，响应速度快、线性度好、温漂小，采用屏蔽防水结构设计，IP67防护等级，具备-40℃～+85℃宽温运行与高EMC抗干扰性能，免开孔无损安装，可长期稳定采集主变铁芯、绕组、紧固件振动特征信号，适配振动采集主机实现故障分析与在线监测</w:t>
            </w:r>
            <w:r>
              <w:rPr>
                <w:rFonts w:hint="eastAsia" w:ascii="宋体" w:hAnsi="宋体" w:cs="宋体"/>
                <w:szCs w:val="21"/>
                <w:lang w:eastAsia="zh-CN" w:bidi="ar"/>
              </w:rPr>
              <w:t xml:space="preserve">，</w:t>
            </w:r>
            <w:r>
              <w:rPr>
                <w:rFonts w:hint="eastAsia" w:ascii="宋体" w:hAnsi="宋体" w:eastAsia="宋体" w:cs="宋体"/>
                <w:szCs w:val="21"/>
                <w:lang w:bidi="ar"/>
              </w:rPr>
              <w:t xml:space="preserve">供电电源：直流DC 9V</w:t>
            </w:r>
            <w:r>
              <w:rPr>
                <w:rFonts w:hint="eastAsia" w:ascii="宋体" w:hAnsi="宋体" w:cs="宋体"/>
                <w:szCs w:val="21"/>
                <w:lang w:eastAsia="zh-CN" w:bidi="ar"/>
              </w:rPr>
              <w:t xml:space="preserve">～</w:t>
            </w:r>
            <w:r>
              <w:rPr>
                <w:rFonts w:hint="eastAsia" w:ascii="宋体" w:hAnsi="宋体" w:eastAsia="宋体" w:cs="宋体"/>
                <w:szCs w:val="21"/>
                <w:lang w:bidi="ar"/>
              </w:rPr>
              <w:t xml:space="preserve">30V；功耗：0.3W(DC24V</w:t>
            </w:r>
            <w:r>
              <w:rPr>
                <w:rFonts w:hint="eastAsia" w:ascii="宋体" w:hAnsi="宋体" w:cs="宋体"/>
                <w:szCs w:val="21"/>
                <w:lang w:eastAsia="zh-CN" w:bidi="ar"/>
              </w:rPr>
              <w:t xml:space="preserve">)</w:t>
            </w:r>
            <w:r>
              <w:rPr>
                <w:rFonts w:hint="eastAsia" w:ascii="宋体" w:hAnsi="宋体" w:eastAsia="宋体" w:cs="宋体"/>
                <w:szCs w:val="21"/>
                <w:lang w:bidi="ar"/>
              </w:rPr>
              <w:t xml:space="preserve">；防护等级：IP67；频率范围（Hz）：10-1600；振动测量方向：单轴或三轴；振动速度测量范围（mm/s）：0-50；振动速度测量精度：＜1% （@160Hz，10mm/s）；振动位移测量范围（μm）：0-5000；振动位移测量精度：＜1% （@40Hz，400μm）；表面温度测量范围（℃）：-40~+80；温度显示分辨率（℃）：0.1；信号输出：RS-485。</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tcW w:w="903"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rHeight w:val="1999"/>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主变振动采集仪</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主变振动采集器为工业级动态信号采集装置，支持多路振动传感器同步采样，可精准采集主变本体振动加速度、幅值，具备实时数据</w:t>
            </w:r>
            <w:r>
              <w:rPr>
                <w:rFonts w:hint="eastAsia" w:ascii="宋体" w:hAnsi="宋体" w:cs="宋体"/>
                <w:szCs w:val="21"/>
                <w:lang w:eastAsia="zh-CN" w:bidi="ar"/>
              </w:rPr>
              <w:t xml:space="preserve">，</w:t>
            </w:r>
            <w:r>
              <w:rPr>
                <w:rFonts w:hint="eastAsia" w:ascii="宋体" w:hAnsi="宋体" w:eastAsia="宋体" w:cs="宋体"/>
                <w:szCs w:val="21"/>
                <w:lang w:bidi="ar"/>
              </w:rPr>
              <w:t xml:space="preserve">超限告警及SOE事件记录功能，兼容Modbus、IEC61850通讯协议上传数据，整机满足-40℃～+65℃宽温工作环境与高等级EMC电磁兼容标准，可全天候稳定监测变压器铁芯松动、绕组异常、结构部件疲劳等机械类潜伏性故障。</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套</w:t>
            </w:r>
            <w:r/>
          </w:p>
        </w:tc>
        <w:tc>
          <w:tcPr>
            <w:tcW w:w="903"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rHeight w:val="1346"/>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主变监测智能柜</w:t>
            </w:r>
            <w:r/>
          </w:p>
        </w:tc>
        <w:tc>
          <w:tcPr>
            <w:tcW w:w="5150" w:type="dxa"/>
            <w:vAlign w:val="center"/>
            <w:textDirection w:val="lrTb"/>
            <w:noWrap w:val="false"/>
          </w:tcPr>
          <w:p>
            <w:pPr>
              <w:jc w:val="left"/>
              <w:widowControl/>
              <w:rPr>
                <w:rFonts w:hint="eastAsia" w:ascii="宋体" w:hAnsi="宋体" w:eastAsia="宋体" w:cs="宋体"/>
                <w:szCs w:val="21"/>
                <w:lang w:bidi="ar"/>
              </w:rPr>
            </w:pPr>
            <w:r>
              <w:rPr>
                <w:rFonts w:hint="eastAsia" w:ascii="宋体" w:hAnsi="宋体" w:eastAsia="宋体" w:cs="宋体"/>
                <w:szCs w:val="21"/>
                <w:lang w:bidi="ar"/>
              </w:rPr>
              <w:t xml:space="preserve">尺寸：600×600×1100mm，镀锌钢板喷塑材质，内部安装油色谱监测数据采集分析仪、主变振动采集仪、变压器局放数据采集仪。柜体采用镀锌钢板，包含直流电源，小型断路器，避雷器，HC8-8T-LV-LV百兆8口非网管卡轨式以太网工业交换机，端子排，插座的采购等。</w:t>
            </w:r>
            <w:r/>
          </w:p>
        </w:tc>
        <w:tc>
          <w:tcPr>
            <w:tcW w:w="818"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面</w:t>
            </w:r>
            <w:r/>
          </w:p>
        </w:tc>
        <w:tc>
          <w:tcPr>
            <w:tcW w:w="903"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1</w:t>
            </w:r>
            <w:r/>
          </w:p>
        </w:tc>
      </w:tr>
      <w:tr>
        <w:trPr>
          <w:trHeight w:val="410"/>
        </w:trPr>
        <w:tc>
          <w:tcPr>
            <w:tcW w:w="751"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二</w:t>
            </w:r>
            <w:r/>
          </w:p>
        </w:tc>
        <w:tc>
          <w:tcPr>
            <w:gridSpan w:val="4"/>
            <w:tcW w:w="8507" w:type="dxa"/>
            <w:vAlign w:val="center"/>
            <w:textDirection w:val="lrTb"/>
            <w:noWrap w:val="false"/>
          </w:tcPr>
          <w:p>
            <w:pPr>
              <w:jc w:val="left"/>
              <w:rPr>
                <w:rFonts w:hint="eastAsia" w:ascii="宋体" w:hAnsi="宋体" w:eastAsia="宋体" w:cs="宋体"/>
                <w:b/>
                <w:bCs/>
                <w:sz w:val="24"/>
              </w:rPr>
            </w:pPr>
            <w:r>
              <w:rPr>
                <w:rFonts w:hint="eastAsia" w:ascii="宋体" w:hAnsi="宋体" w:eastAsia="宋体" w:cs="宋体"/>
                <w:b/>
                <w:bCs/>
                <w:sz w:val="24"/>
              </w:rPr>
              <w:t xml:space="preserve">GIS</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GIS局放传感器</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GIS外置式特高频局放传感器为无源吸附式安装结构，适配110Kv~750kV GIS设备，工作频段300MHz～1500MHz、检测灵敏度≤5pC、全频段驻波比≤1.5、等效高度≥10mm，采用50Ω阻抗匹配设计，配备N型防水接口，支持100m内低损耗信号传输，具备-40℃～+85℃宽温运行能力、IP67防护等级及四级电磁兼容抗干扰性能，可纳秒级捕捉局放脉冲信号，无需供电、免校准免维护，可稳定采集局部放电信号配套在线监测IED实现数据统计、分析及告警功能。</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个</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W w:w="163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GIS局放在线监测IED</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局部放电通道数量：≤16CHs；通讯接口：光纤/网线；特高频电检测动态范围：-80~-5dBm；特高频检测频率带宽：300MHz~3GHz；高频输入灵敏度：1.2mV；通信速度：100M/S；通信模块：TCP Server；保险丝规格：250V/3A；功耗：20W；工作电压：AC 220V；工作频率：50Hz；工作温度：-40~+70℃；工作湿度：＜95%，无凝露。</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台</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rPr>
              <w:t xml:space="preserve">▲</w:t>
            </w:r>
            <w:r>
              <w:rPr>
                <w:rFonts w:hint="eastAsia" w:ascii="宋体" w:hAnsi="宋体" w:eastAsia="宋体" w:cs="宋体"/>
                <w:szCs w:val="21"/>
              </w:rPr>
              <w:t xml:space="preserve">GIS微水密度在线监测IED</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GIS微水密度在线监测IED采用工业级嵌入式采集架构，支持多路SF6温压微水传感器总线接入，可实时采集气室温度、压力、微水露点及ppm含量，具备20℃标准温压自动补偿密度换算功能，支持阈值自定义、分级告警、断线自检、数据滤波与趋势分析，具备大容量本地历史数据存储，兼容Modbus-RTU及IEC61850通讯协议上送，整机满足-40℃～+65℃宽温运行与高等级EMC抗干扰要求，可长期稳定实现GIS气室SF6气体泄漏、微水超标、密度异常的全天候在线监测与预警。</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台</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微水密度传感器</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露点范围：-60～20℃ Td （精度：±2℃ Td，分辨率 0.1）；微水范围：10～20000 ppm（精度：±2% FS，分辨率 0.1ppm）；压力范围：-0.1～14bar （精度：±0.5% FS）；温度范围：-40～80℃ （精度：±1℃）；过载安全压力：20 bar；被测气体：SF6,SF6/N2 混合气；通讯方式：ModBus RS485；传输速度：9600bps；工作电压：DC18～36V；功率：≤1W；防护等级：IP65；绝对漏气率：≤10</w:t>
            </w:r>
            <w:r>
              <w:rPr>
                <w:rFonts w:hint="eastAsia" w:ascii="宋体" w:hAnsi="宋体" w:cs="宋体"/>
                <w:szCs w:val="21"/>
                <w:lang w:eastAsia="zh-CN"/>
              </w:rPr>
              <w:t xml:space="preserve">—</w:t>
            </w:r>
            <w:r>
              <w:rPr>
                <w:rFonts w:hint="eastAsia" w:ascii="宋体" w:hAnsi="宋体" w:eastAsia="宋体" w:cs="宋体"/>
                <w:szCs w:val="21"/>
              </w:rPr>
              <w:t xml:space="preserve">9Pa·m3 /s（氦气检测）。</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个</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r>
      <w:tr>
        <w:trPr>
          <w:trHeight w:val="591"/>
        </w:trPr>
        <w:tc>
          <w:tcPr>
            <w:tcW w:w="7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Cs w:val="21"/>
              </w:rPr>
              <w:t xml:space="preserve">13</w:t>
            </w:r>
            <w:r/>
          </w:p>
        </w:tc>
        <w:tc>
          <w:tcPr>
            <w:tcW w:w="1636"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GIS就地智能箱</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尺寸：600×800×205mm，镀锌钢板喷塑材质，内部安装GIS局放在线监测采集单元（IED）、GIS微水密度在线监测采集单元（IED），柜体采用镀锌钢板材质，包含柜内直流电源、小型断路器，避雷器，HC8-8T-LV-LV百兆8口非网管卡轨式以太网工业交换机，端子排，插座等设备采购。</w:t>
            </w:r>
            <w:r/>
          </w:p>
        </w:tc>
        <w:tc>
          <w:tcPr>
            <w:tcW w:w="81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面</w:t>
            </w:r>
            <w:r/>
          </w:p>
        </w:tc>
        <w:tc>
          <w:tcPr>
            <w:tcW w:w="903"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r>
      <w:tr>
        <w:trPr>
          <w:trHeight w:val="390"/>
        </w:trPr>
        <w:tc>
          <w:tcPr>
            <w:tcW w:w="75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b/>
                <w:bCs/>
                <w:sz w:val="24"/>
              </w:rPr>
              <w:t xml:space="preserve">三</w:t>
            </w:r>
            <w:r/>
          </w:p>
        </w:tc>
        <w:tc>
          <w:tcPr>
            <w:gridSpan w:val="4"/>
            <w:tcW w:w="850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Cs w:val="21"/>
                <w:lang w:bidi="ar"/>
              </w:rPr>
              <w:t xml:space="preserve">项目实施及配套服务</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诊断系统工控机</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安装运行故障预测及健康管理平台，具体配置如下：</w:t>
            </w:r>
            <w:r/>
          </w:p>
          <w:p>
            <w:pPr>
              <w:jc w:val="left"/>
              <w:rPr>
                <w:rFonts w:hint="eastAsia" w:ascii="宋体" w:hAnsi="宋体" w:eastAsia="宋体" w:cs="宋体"/>
                <w:szCs w:val="21"/>
              </w:rPr>
            </w:pPr>
            <w:r>
              <w:rPr>
                <w:rFonts w:hint="eastAsia" w:ascii="宋体" w:hAnsi="宋体" w:eastAsia="宋体" w:cs="宋体"/>
                <w:szCs w:val="21"/>
              </w:rPr>
              <w:t xml:space="preserve">1.处理器：核心数≥8，主频≥3.0GHz；</w:t>
            </w:r>
            <w:r/>
          </w:p>
          <w:p>
            <w:pPr>
              <w:jc w:val="left"/>
              <w:rPr>
                <w:rFonts w:hint="eastAsia" w:ascii="宋体" w:hAnsi="宋体" w:eastAsia="宋体" w:cs="宋体"/>
                <w:szCs w:val="21"/>
              </w:rPr>
            </w:pPr>
            <w:r>
              <w:rPr>
                <w:rFonts w:hint="eastAsia" w:ascii="宋体" w:hAnsi="宋体" w:eastAsia="宋体" w:cs="宋体"/>
                <w:szCs w:val="21"/>
              </w:rPr>
              <w:t xml:space="preserve">2.内存：16GB DDR5；</w:t>
            </w:r>
            <w:r/>
          </w:p>
          <w:p>
            <w:pPr>
              <w:jc w:val="left"/>
              <w:rPr>
                <w:rFonts w:hint="eastAsia" w:ascii="宋体" w:hAnsi="宋体" w:eastAsia="宋体" w:cs="宋体"/>
                <w:szCs w:val="21"/>
              </w:rPr>
            </w:pPr>
            <w:r>
              <w:rPr>
                <w:rFonts w:hint="eastAsia" w:ascii="宋体" w:hAnsi="宋体" w:eastAsia="宋体" w:cs="宋体"/>
                <w:szCs w:val="21"/>
              </w:rPr>
              <w:t xml:space="preserve">3.存储：1TB SSD固态硬盘；</w:t>
            </w:r>
            <w:r/>
          </w:p>
          <w:p>
            <w:pPr>
              <w:jc w:val="left"/>
              <w:rPr>
                <w:rFonts w:hint="eastAsia" w:ascii="宋体" w:hAnsi="宋体" w:eastAsia="宋体" w:cs="宋体"/>
                <w:szCs w:val="21"/>
              </w:rPr>
            </w:pPr>
            <w:r>
              <w:rPr>
                <w:rFonts w:hint="eastAsia" w:ascii="宋体" w:hAnsi="宋体" w:eastAsia="宋体" w:cs="宋体"/>
                <w:szCs w:val="21"/>
              </w:rPr>
              <w:t xml:space="preserve">4.显卡：2GB独立显卡；</w:t>
            </w:r>
            <w:r/>
          </w:p>
          <w:p>
            <w:pPr>
              <w:jc w:val="left"/>
              <w:rPr>
                <w:rFonts w:hint="eastAsia" w:ascii="宋体" w:hAnsi="宋体" w:eastAsia="宋体" w:cs="宋体"/>
                <w:szCs w:val="21"/>
              </w:rPr>
            </w:pPr>
            <w:r>
              <w:rPr>
                <w:rFonts w:hint="eastAsia" w:ascii="宋体" w:hAnsi="宋体" w:eastAsia="宋体" w:cs="宋体"/>
                <w:szCs w:val="21"/>
              </w:rPr>
              <w:t xml:space="preserve">5.显示：配套27寸液晶显示器；</w:t>
            </w:r>
            <w:r/>
          </w:p>
          <w:p>
            <w:pPr>
              <w:jc w:val="left"/>
              <w:rPr>
                <w:rFonts w:hint="eastAsia" w:ascii="宋体" w:hAnsi="宋体" w:eastAsia="宋体" w:cs="宋体"/>
                <w:szCs w:val="21"/>
              </w:rPr>
            </w:pPr>
            <w:r>
              <w:rPr>
                <w:rFonts w:hint="eastAsia" w:ascii="宋体" w:hAnsi="宋体" w:eastAsia="宋体" w:cs="宋体"/>
                <w:szCs w:val="21"/>
              </w:rPr>
              <w:t xml:space="preserve">6.操作系统：预装正版操作系统，可兼容诊断系统。</w:t>
            </w:r>
            <w:r/>
          </w:p>
          <w:p>
            <w:pPr>
              <w:jc w:val="left"/>
              <w:rPr>
                <w:rFonts w:hint="eastAsia" w:ascii="宋体" w:hAnsi="宋体" w:eastAsia="宋体" w:cs="宋体"/>
              </w:rPr>
            </w:pPr>
            <w:r>
              <w:rPr>
                <w:rFonts w:hint="eastAsia" w:ascii="宋体" w:hAnsi="宋体" w:eastAsia="宋体" w:cs="宋体"/>
                <w:szCs w:val="21"/>
              </w:rPr>
              <w:t xml:space="preserve">7.其他：无线键鼠1套</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台</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工业交换机</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rPr>
              <w:t xml:space="preserve">工业级千兆8口非网管以太网交换机，卡轨式安装；</w:t>
            </w:r>
            <w:r/>
          </w:p>
          <w:p>
            <w:pPr>
              <w:rPr>
                <w:rFonts w:hint="eastAsia" w:ascii="宋体" w:hAnsi="宋体" w:eastAsia="宋体" w:cs="宋体"/>
              </w:rPr>
            </w:pPr>
            <w:r>
              <w:rPr>
                <w:rFonts w:hint="eastAsia" w:ascii="宋体" w:hAnsi="宋体" w:eastAsia="宋体" w:cs="宋体"/>
              </w:rPr>
              <w:t xml:space="preserve">端口：8个10/100/1000Base-TX以太网电口；</w:t>
            </w:r>
            <w:r/>
          </w:p>
          <w:p>
            <w:pPr>
              <w:rPr>
                <w:rFonts w:hint="eastAsia" w:ascii="宋体" w:hAnsi="宋体" w:eastAsia="宋体" w:cs="宋体"/>
              </w:rPr>
            </w:pPr>
            <w:r>
              <w:rPr>
                <w:rFonts w:hint="eastAsia" w:ascii="宋体" w:hAnsi="宋体" w:eastAsia="宋体" w:cs="宋体"/>
              </w:rPr>
              <w:t xml:space="preserve">交换容量≥16Gbps，包转发率≥11.9Mpps；</w:t>
            </w:r>
            <w:r/>
          </w:p>
          <w:p>
            <w:pPr>
              <w:rPr>
                <w:rFonts w:hint="eastAsia" w:ascii="宋体" w:hAnsi="宋体" w:eastAsia="宋体" w:cs="宋体"/>
              </w:rPr>
            </w:pPr>
            <w:r>
              <w:rPr>
                <w:rFonts w:hint="eastAsia" w:ascii="宋体" w:hAnsi="宋体" w:eastAsia="宋体" w:cs="宋体"/>
              </w:rPr>
              <w:t xml:space="preserve">工作温度：-40℃~+75℃，防护等级IP40，支持宽压双电源输入（DC12~48V），MTBF≥35年，符合工业级EMC四级标准。</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台</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16</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通讯管理机</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rPr>
              <w:t xml:space="preserve">工业级通讯管理机，PNM02 V2.0或同等及以上性能产品；</w:t>
            </w:r>
            <w:r/>
          </w:p>
          <w:p>
            <w:pPr>
              <w:rPr>
                <w:rFonts w:hint="eastAsia" w:ascii="宋体" w:hAnsi="宋体" w:eastAsia="宋体" w:cs="宋体"/>
              </w:rPr>
            </w:pPr>
            <w:r>
              <w:rPr>
                <w:rFonts w:hint="eastAsia" w:ascii="宋体" w:hAnsi="宋体" w:eastAsia="宋体" w:cs="宋体"/>
              </w:rPr>
              <w:t xml:space="preserve">支持Modbus RTU/RS485/422/232转以太网协议转换；</w:t>
            </w:r>
            <w:r/>
          </w:p>
          <w:p>
            <w:pPr>
              <w:rPr>
                <w:rFonts w:hint="eastAsia" w:ascii="宋体" w:hAnsi="宋体" w:eastAsia="宋体" w:cs="宋体"/>
              </w:rPr>
            </w:pPr>
            <w:r>
              <w:rPr>
                <w:rFonts w:hint="eastAsia" w:ascii="宋体" w:hAnsi="宋体" w:eastAsia="宋体" w:cs="宋体"/>
              </w:rPr>
              <w:t xml:space="preserve">支持至少8路串口接入，2路以太网口；</w:t>
            </w:r>
            <w:r/>
          </w:p>
          <w:p>
            <w:pPr>
              <w:rPr>
                <w:rFonts w:hint="eastAsia" w:ascii="宋体" w:hAnsi="宋体" w:eastAsia="宋体" w:cs="宋体"/>
              </w:rPr>
            </w:pPr>
            <w:r>
              <w:rPr>
                <w:rFonts w:hint="eastAsia" w:ascii="宋体" w:hAnsi="宋体" w:eastAsia="宋体" w:cs="宋体"/>
              </w:rPr>
              <w:t xml:space="preserve">工业级设计，工作温度-40℃~+85℃，支持导轨安装。</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台</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17</w:t>
            </w:r>
            <w:r/>
          </w:p>
        </w:tc>
        <w:tc>
          <w:tcPr>
            <w:tcW w:w="163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▲变压器与GIS在线监测诊断系统</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系统展示变电站的基本信息，包括变电站名称和背景矢量图。展示在线监测的基本信息，包括整站运行状态、报警趋势折线图、设备总览以及诊断系统的详细信息。1.变压器油色谱监测H2浓度、CO浓度、CH4浓度、C2H4浓度、C2H2浓度、CO2浓度、总烃浓度、微水温度、微水湿度、微水PPM等信息。2.主变局放监测的报警状态、放电类型、放电概率、放电均值、放电次数、放电峰值、</w:t>
            </w:r>
            <w:r>
              <w:rPr>
                <w:rFonts w:hint="eastAsia" w:ascii="宋体" w:hAnsi="宋体" w:cs="宋体"/>
                <w:szCs w:val="21"/>
                <w:lang w:eastAsia="zh-CN"/>
              </w:rPr>
              <w:t xml:space="preserve">放电</w:t>
            </w:r>
            <w:r>
              <w:rPr>
                <w:rFonts w:hint="eastAsia" w:ascii="宋体" w:hAnsi="宋体" w:eastAsia="宋体" w:cs="宋体"/>
                <w:szCs w:val="21"/>
              </w:rPr>
              <w:t xml:space="preserve">相位、报警信息等。3.铁芯电流、夹件电流等信息，铁芯、夹件电流报警。4.主变振动频率、幅度、变化量、振动报警等。5.GIS局放在线监测：局放监测报警状态、放电类型、放电概率、放电均值、放电次数、放电峰值、</w:t>
            </w:r>
            <w:r>
              <w:rPr>
                <w:rFonts w:hint="eastAsia" w:ascii="宋体" w:hAnsi="宋体" w:cs="宋体"/>
                <w:szCs w:val="21"/>
                <w:lang w:eastAsia="zh-CN"/>
              </w:rPr>
              <w:t xml:space="preserve">放电</w:t>
            </w:r>
            <w:r>
              <w:rPr>
                <w:rFonts w:hint="eastAsia" w:ascii="宋体" w:hAnsi="宋体" w:eastAsia="宋体" w:cs="宋体"/>
                <w:szCs w:val="21"/>
              </w:rPr>
              <w:t xml:space="preserve">相位等。6.微水监测：露点、微水、压力、密度、温度、微水报警等信息。</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591"/>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18</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辅材</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四芯屏蔽信号线1500米、电源线500米BV1.5、网线500米等。</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610"/>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19</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安装调试</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传感器、采集仪器、智能柜、线缆的安装调试。传感器安装包括油色谱监测传感器和管道安装，高频局放、局放传感器和线缆安装，振动传感器及线缆安装，GIS局放、GIS微水传感器及线缆安装。采集仪器包含油色谱监测、主变高频局放、振动、GIS局放、GIS微水采集仪（IED）。智能柜包括主变智能柜、GIS智能柜、电源线和信号线等线缆的安装。</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次</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r>
        <w:trPr>
          <w:trHeight w:val="610"/>
        </w:trPr>
        <w:tc>
          <w:tcPr>
            <w:tcW w:w="75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20</w:t>
            </w:r>
            <w:r/>
          </w:p>
        </w:tc>
        <w:tc>
          <w:tcPr>
            <w:tcW w:w="163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机柜基础及改造</w:t>
            </w:r>
            <w:r/>
          </w:p>
        </w:tc>
        <w:tc>
          <w:tcPr>
            <w:tcW w:w="515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bidi="ar"/>
              </w:rPr>
              <w:t xml:space="preserve">主变智能柜采用膨胀螺栓安装在已有混凝土上，GIS智能柜通过槽钢焊接在已有GIS已有电缆沟基础上。钻孔，预埋管敷设等。主变监测智能柜600*600*1100mm，GIS就地智能箱600*800*205mm，槽钢长度8米。</w:t>
            </w:r>
            <w:r/>
          </w:p>
        </w:tc>
        <w:tc>
          <w:tcPr>
            <w:tcW w:w="81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项</w:t>
            </w:r>
            <w:r/>
          </w:p>
        </w:tc>
        <w:tc>
          <w:tcPr>
            <w:tcW w:w="9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r>
    </w:tbl>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ind w:firstLine="482"/>
        <w:spacing w:line="360" w:lineRule="auto"/>
        <w:widowControl/>
        <w:rPr>
          <w:rFonts w:hint="eastAsia" w:ascii="宋体" w:hAnsi="宋体" w:eastAsia="宋体" w:cs="宋体"/>
          <w:b/>
          <w:sz w:val="24"/>
          <w:szCs w:val="24"/>
          <w:highlight w:val="lightGray"/>
          <w:lang w:bidi="ar"/>
        </w:rPr>
      </w:pPr>
      <w:r>
        <w:rPr>
          <w:rFonts w:hint="eastAsia" w:ascii="宋体" w:hAnsi="宋体" w:eastAsia="宋体" w:cs="宋体"/>
          <w:b/>
          <w:sz w:val="24"/>
          <w:szCs w:val="24"/>
          <w:highlight w:val="lightGray"/>
          <w:lang w:bidi="ar"/>
        </w:rPr>
        <w:t xml:space="preserve">3.皂河站自动控制系统整合完善采购清单</w:t>
      </w:r>
      <w:r/>
    </w:p>
    <w:tbl>
      <w:tblPr>
        <w:tblStyle w:val="834"/>
        <w:tblW w:w="91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199"/>
        <w:gridCol w:w="4590"/>
        <w:gridCol w:w="690"/>
        <w:gridCol w:w="720"/>
      </w:tblGrid>
      <w:tr>
        <w:trPr>
          <w:trHeight w:val="442"/>
        </w:trPr>
        <w:tc>
          <w:tcPr>
            <w:tcW w:w="90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序号</w:t>
            </w:r>
            <w:r/>
          </w:p>
        </w:tc>
        <w:tc>
          <w:tcPr>
            <w:tcW w:w="219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设备名称</w:t>
            </w:r>
            <w:r/>
          </w:p>
        </w:tc>
        <w:tc>
          <w:tcPr>
            <w:tcW w:w="459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规格参数及特征描述</w:t>
            </w:r>
            <w:r/>
          </w:p>
        </w:tc>
        <w:tc>
          <w:tcPr>
            <w:tcW w:w="69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单位</w:t>
            </w:r>
            <w:r/>
          </w:p>
        </w:tc>
        <w:tc>
          <w:tcPr>
            <w:tcW w:w="72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b/>
                <w:bCs/>
                <w:color w:val="000000"/>
                <w:szCs w:val="21"/>
              </w:rPr>
              <w:t xml:space="preserve">数量</w:t>
            </w:r>
            <w:r/>
          </w:p>
        </w:tc>
      </w:tr>
      <w:tr>
        <w:trPr>
          <w:trHeight w:val="373"/>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gridSpan w:val="4"/>
            <w:tcW w:w="819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数据治理体系建设</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1.1</w:t>
            </w:r>
            <w:r/>
          </w:p>
        </w:tc>
        <w:tc>
          <w:tcPr>
            <w:tcW w:w="219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▲多源异构数据汇聚接入</w:t>
            </w:r>
            <w:r/>
          </w:p>
        </w:tc>
        <w:tc>
          <w:tcPr>
            <w:tcW w:w="4590"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sz w:val="21"/>
                <w:szCs w:val="21"/>
              </w:rPr>
              <w:t xml:space="preserve">对接主机组、主变、GIS、电气、水文、建筑物安全监测、视频等系统数据，实现多源数据智能感知。</w:t>
            </w:r>
            <w:r/>
          </w:p>
        </w:tc>
        <w:tc>
          <w:tcPr>
            <w:tcW w:w="69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1</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1.2</w:t>
            </w:r>
            <w:r/>
          </w:p>
        </w:tc>
        <w:tc>
          <w:tcPr>
            <w:tcW w:w="219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数据传输通道建设</w:t>
            </w:r>
            <w:r/>
          </w:p>
        </w:tc>
        <w:tc>
          <w:tcPr>
            <w:tcW w:w="4590"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sz w:val="21"/>
                <w:szCs w:val="21"/>
              </w:rPr>
              <w:t xml:space="preserve">实现各个系统的数据协议转换、采集频率同步、通信网络配置与开发。</w:t>
            </w:r>
            <w:r/>
          </w:p>
        </w:tc>
        <w:tc>
          <w:tcPr>
            <w:tcW w:w="69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1</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1.3</w:t>
            </w:r>
            <w:r/>
          </w:p>
        </w:tc>
        <w:tc>
          <w:tcPr>
            <w:tcW w:w="2199" w:type="dxa"/>
            <w:vAlign w:val="center"/>
            <w:textDirection w:val="lrTb"/>
            <w:noWrap w:val="false"/>
          </w:tcPr>
          <w:p>
            <w:pPr>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数据清洗治理</w:t>
            </w:r>
            <w:r/>
          </w:p>
        </w:tc>
        <w:tc>
          <w:tcPr>
            <w:tcW w:w="4590"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sz w:val="21"/>
                <w:szCs w:val="21"/>
              </w:rPr>
              <w:t xml:space="preserve">监测数据综合治理服务，包含数据清洗转换、错误数据过滤、流量控制治理、数据规范化建设及数据共享服务等。</w:t>
            </w:r>
            <w:r/>
          </w:p>
        </w:tc>
        <w:tc>
          <w:tcPr>
            <w:tcW w:w="69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1</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1.4</w:t>
            </w:r>
            <w:r/>
          </w:p>
        </w:tc>
        <w:tc>
          <w:tcPr>
            <w:tcW w:w="219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▲数据库建设</w:t>
            </w:r>
            <w:r/>
          </w:p>
        </w:tc>
        <w:tc>
          <w:tcPr>
            <w:tcW w:w="4590"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sz w:val="21"/>
                <w:szCs w:val="21"/>
              </w:rPr>
              <w:t xml:space="preserve">数据库建设服务，包含皂河站运行数据库、业务数据库及数据资源底座搭建。</w:t>
            </w:r>
            <w:r/>
          </w:p>
        </w:tc>
        <w:tc>
          <w:tcPr>
            <w:tcW w:w="69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1</w:t>
            </w:r>
            <w:r/>
          </w:p>
        </w:tc>
      </w:tr>
      <w:tr>
        <w:trPr>
          <w:trHeight w:val="359"/>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gridSpan w:val="4"/>
            <w:tcW w:w="8199"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三维场景构建</w:t>
            </w:r>
            <w:r/>
          </w:p>
        </w:tc>
      </w:tr>
      <w:tr>
        <w:trPr>
          <w:trHeight w:val="1609"/>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2.1</w:t>
            </w:r>
            <w:r/>
          </w:p>
        </w:tc>
        <w:tc>
          <w:tcPr>
            <w:tcW w:w="219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倾斜摄影实景数据采集与处理</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采用无人机倾斜摄影技术对皂河枢纽核心区及周边工程影响区共约4km²范围进行数据采集（航向重叠度≥80%，旁向重叠度≥70%，地面分辨率≤5cm）。数据处理生成实景三维模型（OSGB）、数字正射影像图（DOM≤5cm）、数字高程模型（DEM≤0.5m）</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2.2</w:t>
            </w:r>
            <w:r/>
          </w:p>
        </w:tc>
        <w:tc>
          <w:tcPr>
            <w:tcW w:w="2199"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辅机设备补充建模</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对尚未建模的辅机设备及配套建筑物开展三维建模，包括空压机、液压减载装置、高低压开关柜、励磁柜、空冷器及配套水系统、闸门启闭设备（含工作闸门、检修闸门、门槽、埋件、卷扬式启闭机等，LOD4.0）清污机、拦污栅，以及引水闸、交通桥、工作桥、变电所等配套建筑物</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2.3</w:t>
            </w:r>
            <w:r/>
          </w:p>
        </w:tc>
        <w:tc>
          <w:tcPr>
            <w:tcW w:w="2199"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rPr>
              <w:t xml:space="preserve">▲</w:t>
            </w:r>
            <w:r>
              <w:rPr>
                <w:rFonts w:hint="eastAsia" w:ascii="宋体" w:hAnsi="宋体" w:eastAsia="宋体" w:cs="宋体"/>
                <w:color w:val="000000"/>
                <w:szCs w:val="21"/>
              </w:rPr>
              <w:t xml:space="preserve">泵房及水工建筑物建模</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对皂河站泵房及配套水工建筑物开展精细化三维建模。外部建筑结构包括泵站主体站身、前池、出水池、上下游翼墙、护坡等（LOD3.0）；内部空间包括电机层各设备室、联轴层各区域、公用设施及围护结构</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2.4</w:t>
            </w:r>
            <w:r/>
          </w:p>
        </w:tc>
        <w:tc>
          <w:tcPr>
            <w:tcW w:w="2199"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监测设施建模</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安全监测装置、网络通讯设备建模，包括伸缩缝监测点、位移监测点（表面及深层）在三维场景中的精确定位标识，并与监测数据关联</w:t>
            </w:r>
            <w:r/>
          </w:p>
        </w:tc>
        <w:tc>
          <w:tcPr>
            <w:tcW w:w="69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1</w:t>
            </w:r>
            <w:r/>
          </w:p>
        </w:tc>
      </w:tr>
      <w:tr>
        <w:trPr>
          <w:trHeight w:val="372"/>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gridSpan w:val="4"/>
            <w:tcW w:w="8199" w:type="dxa"/>
            <w:vAlign w:val="center"/>
            <w:textDirection w:val="lrTb"/>
            <w:noWrap w:val="false"/>
          </w:tcPr>
          <w:p>
            <w:pPr>
              <w:widowControl/>
              <w:rPr>
                <w:rFonts w:hint="eastAsia" w:ascii="宋体" w:hAnsi="宋体" w:eastAsia="宋体" w:cs="宋体"/>
                <w:color w:val="000000"/>
                <w:szCs w:val="21"/>
              </w:rPr>
            </w:pPr>
            <w:r>
              <w:rPr>
                <w:rStyle w:val="835"/>
                <w:rFonts w:hint="eastAsia" w:ascii="宋体" w:hAnsi="宋体" w:eastAsia="宋体" w:cs="宋体"/>
                <w:szCs w:val="21"/>
              </w:rPr>
              <w:t xml:space="preserve">可视化平台搭建</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3.1</w:t>
            </w:r>
            <w:r/>
          </w:p>
        </w:tc>
        <w:tc>
          <w:tcPr>
            <w:tcW w:w="2199"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szCs w:val="21"/>
              </w:rPr>
              <w:t xml:space="preserve">多源数据融合</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实现倾斜摄影实景、BIM模型、水下地形模型、实时监测数据、地理空间数据等各类数据的坐标统一、精准叠加与联动更新；含模型轻量化处理（面片优化、纹理压缩）及多分辨率自适应融合</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3.2</w:t>
            </w:r>
            <w:r/>
          </w:p>
        </w:tc>
        <w:tc>
          <w:tcPr>
            <w:tcW w:w="219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▲可视化展示平台开发</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开发三维可视化展示平台（含三维场景漫游、设备状态展示、数据动态刷新、人机交互操作、目录树检索、预设视角切换等）；提供标准化数据接口（API）支持与各控制系统对接；开发设备信息查询、监测数据展示、应急预案模拟等业务模块</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00"/>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gridSpan w:val="4"/>
            <w:tcW w:w="8199" w:type="dxa"/>
            <w:vAlign w:val="center"/>
            <w:textDirection w:val="lrTb"/>
            <w:noWrap w:val="false"/>
          </w:tcPr>
          <w:p>
            <w:pPr>
              <w:pStyle w:val="831"/>
              <w:jc w:val="both"/>
              <w:rPr>
                <w:rFonts w:hint="eastAsia" w:ascii="宋体" w:hAnsi="宋体" w:eastAsia="宋体" w:cs="宋体"/>
                <w:sz w:val="21"/>
                <w:szCs w:val="21"/>
              </w:rPr>
            </w:pPr>
            <w:r>
              <w:rPr>
                <w:rStyle w:val="835"/>
                <w:rFonts w:hint="eastAsia" w:ascii="宋体" w:hAnsi="宋体" w:eastAsia="宋体" w:cs="宋体"/>
                <w:sz w:val="21"/>
                <w:szCs w:val="21"/>
              </w:rPr>
              <w:t xml:space="preserve">智能应用系统开发</w:t>
            </w:r>
            <w:r/>
          </w:p>
        </w:tc>
      </w:tr>
      <w:tr>
        <w:trPr>
          <w:trHeight w:val="478"/>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4.1</w:t>
            </w:r>
            <w:r/>
          </w:p>
        </w:tc>
        <w:tc>
          <w:tcPr>
            <w:tcW w:w="2199"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数据统计分析页面开发</w:t>
            </w:r>
            <w:r/>
          </w:p>
        </w:tc>
        <w:tc>
          <w:tcPr>
            <w:tcW w:w="4590"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开发趋势分析、参数关联分析、统计报表、异常标记与回溯等功能页面，实现全站监测数据的集中展示与统计分析</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86"/>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4.2</w:t>
            </w:r>
            <w:r/>
          </w:p>
        </w:tc>
        <w:tc>
          <w:tcPr>
            <w:tcW w:w="219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▲智能预警系统开发</w:t>
            </w:r>
            <w:r/>
          </w:p>
        </w:tc>
        <w:tc>
          <w:tcPr>
            <w:tcW w:w="4590"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构建多参量融合预警机制，覆盖主机组、辅机组、主变及GIS设备、高低压开关柜、建筑物安全、AI视频识别六大预警模块，支持阈值告警与趋势预警双重能力；含预警模型设计器（拖拽式低代码预警规则可视化配置工具）开发</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86"/>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4.3</w:t>
            </w:r>
            <w:r/>
          </w:p>
        </w:tc>
        <w:tc>
          <w:tcPr>
            <w:tcW w:w="2199"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rPr>
              <w:t xml:space="preserve">▲</w:t>
            </w:r>
            <w:r>
              <w:rPr>
                <w:rFonts w:hint="eastAsia" w:ascii="宋体" w:hAnsi="宋体" w:eastAsia="宋体" w:cs="宋体"/>
                <w:sz w:val="21"/>
                <w:szCs w:val="21"/>
              </w:rPr>
              <w:t xml:space="preserve">智能分析评价系统开发</w:t>
            </w:r>
            <w:r/>
          </w:p>
        </w:tc>
        <w:tc>
          <w:tcPr>
            <w:tcW w:w="4590"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sz w:val="21"/>
                <w:szCs w:val="21"/>
              </w:rPr>
              <w:t xml:space="preserve">构建设备设施综合分析评价、建筑物安全分析评价、机组健康状态分析评价、机组最优运行组合智能分析等功能模块，输出设备健康等级与运行优化建议</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86"/>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4.4</w:t>
            </w:r>
            <w:r/>
          </w:p>
        </w:tc>
        <w:tc>
          <w:tcPr>
            <w:tcW w:w="2199"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rPr>
              <w:t xml:space="preserve">▲</w:t>
            </w:r>
            <w:r>
              <w:rPr>
                <w:rFonts w:hint="eastAsia" w:ascii="宋体" w:hAnsi="宋体" w:eastAsia="宋体" w:cs="宋体"/>
                <w:sz w:val="21"/>
                <w:szCs w:val="21"/>
              </w:rPr>
              <w:t xml:space="preserve">智能决策系统开发</w:t>
            </w:r>
            <w:r/>
          </w:p>
        </w:tc>
        <w:tc>
          <w:tcPr>
            <w:tcW w:w="4590"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sz w:val="21"/>
                <w:szCs w:val="21"/>
              </w:rPr>
              <w:t xml:space="preserve">构建绿色低碳运行智能体、设备全生命周期管理智能体、大模型知识库、人机语音交互体系、多渠道报警提醒（平台弹窗/语音播报/灯光提示）、视频辅助联动智能体等功能模块</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394"/>
        </w:trPr>
        <w:tc>
          <w:tcPr>
            <w:tcW w:w="901"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gridSpan w:val="4"/>
            <w:tcW w:w="8199" w:type="dxa"/>
            <w:vAlign w:val="center"/>
            <w:textDirection w:val="lrTb"/>
            <w:noWrap w:val="false"/>
          </w:tcPr>
          <w:p>
            <w:pPr>
              <w:widowControl/>
              <w:rPr>
                <w:rFonts w:hint="eastAsia" w:ascii="宋体" w:hAnsi="宋体" w:eastAsia="宋体" w:cs="宋体"/>
                <w:color w:val="000000"/>
                <w:szCs w:val="21"/>
              </w:rPr>
            </w:pPr>
            <w:r>
              <w:rPr>
                <w:rStyle w:val="835"/>
                <w:rFonts w:hint="eastAsia" w:ascii="宋体" w:hAnsi="宋体" w:eastAsia="宋体" w:cs="宋体"/>
                <w:szCs w:val="21"/>
              </w:rPr>
              <w:t xml:space="preserve">监视设备部署</w:t>
            </w:r>
            <w:r/>
          </w:p>
        </w:tc>
      </w:tr>
      <w:tr>
        <w:trPr>
          <w:trHeight w:val="486"/>
        </w:trPr>
        <w:tc>
          <w:tcPr>
            <w:tcW w:w="901"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5.1</w:t>
            </w:r>
            <w:r/>
          </w:p>
        </w:tc>
        <w:tc>
          <w:tcPr>
            <w:tcW w:w="2199"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▲壁挂式LED综合监视大屏</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含装饰外框整体规格4.26m（宽）×2.44m（高），有效净显示区域4.16m（宽）×2.34m（高）；点距1.538mm小间距无缝拼接；适配电机层室内常亮工作环境；含安装辅材、线缆及调试</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r>
        <w:trPr>
          <w:trHeight w:val="486"/>
        </w:trPr>
        <w:tc>
          <w:tcPr>
            <w:tcW w:w="901" w:type="dxa"/>
            <w:vAlign w:val="center"/>
            <w:textDirection w:val="lrTb"/>
            <w:noWrap w:val="false"/>
          </w:tcPr>
          <w:p>
            <w:pPr>
              <w:pStyle w:val="831"/>
              <w:jc w:val="center"/>
              <w:rPr>
                <w:rFonts w:hint="eastAsia" w:ascii="宋体" w:hAnsi="宋体" w:eastAsia="宋体" w:cs="宋体"/>
                <w:color w:val="000000"/>
                <w:sz w:val="21"/>
                <w:szCs w:val="21"/>
              </w:rPr>
            </w:pPr>
            <w:r>
              <w:rPr>
                <w:rFonts w:hint="eastAsia" w:ascii="宋体" w:hAnsi="宋体" w:eastAsia="宋体" w:cs="宋体"/>
                <w:sz w:val="21"/>
                <w:szCs w:val="21"/>
              </w:rPr>
              <w:t xml:space="preserve">5.2</w:t>
            </w:r>
            <w:r/>
          </w:p>
        </w:tc>
        <w:tc>
          <w:tcPr>
            <w:tcW w:w="2199" w:type="dxa"/>
            <w:vAlign w:val="center"/>
            <w:textDirection w:val="lrTb"/>
            <w:noWrap w:val="false"/>
          </w:tcPr>
          <w:p>
            <w:pPr>
              <w:pStyle w:val="831"/>
              <w:rPr>
                <w:rFonts w:hint="eastAsia" w:ascii="宋体" w:hAnsi="宋体" w:eastAsia="宋体" w:cs="宋体"/>
                <w:color w:val="000000"/>
                <w:sz w:val="21"/>
                <w:szCs w:val="21"/>
              </w:rPr>
            </w:pPr>
            <w:r>
              <w:rPr>
                <w:rFonts w:hint="eastAsia" w:ascii="宋体" w:hAnsi="宋体" w:eastAsia="宋体" w:cs="宋体"/>
                <w:sz w:val="21"/>
                <w:szCs w:val="21"/>
              </w:rPr>
              <w:t xml:space="preserve">立式触摸交互终端</w:t>
            </w:r>
            <w:r/>
          </w:p>
        </w:tc>
        <w:tc>
          <w:tcPr>
            <w:tcW w:w="4590" w:type="dxa"/>
            <w:vAlign w:val="center"/>
            <w:textDirection w:val="lrTb"/>
            <w:noWrap w:val="false"/>
          </w:tcPr>
          <w:p>
            <w:pPr>
              <w:pStyle w:val="831"/>
              <w:rPr>
                <w:rFonts w:hint="eastAsia" w:ascii="宋体" w:hAnsi="宋体" w:eastAsia="宋体" w:cs="宋体"/>
                <w:sz w:val="21"/>
                <w:szCs w:val="21"/>
              </w:rPr>
            </w:pPr>
            <w:r>
              <w:rPr>
                <w:rFonts w:hint="eastAsia" w:ascii="宋体" w:hAnsi="宋体" w:eastAsia="宋体" w:cs="宋体"/>
                <w:sz w:val="21"/>
                <w:szCs w:val="21"/>
              </w:rPr>
              <w:t xml:space="preserve">终端显示画面与壁挂LED大屏完全同步，支持触控交互操作</w:t>
            </w:r>
            <w:r/>
          </w:p>
        </w:tc>
        <w:tc>
          <w:tcPr>
            <w:tcW w:w="69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项</w:t>
            </w:r>
            <w:r/>
          </w:p>
        </w:tc>
        <w:tc>
          <w:tcPr>
            <w:tcW w:w="720" w:type="dxa"/>
            <w:vAlign w:val="center"/>
            <w:textDirection w:val="lrTb"/>
            <w:noWrap w:val="false"/>
          </w:tcPr>
          <w:p>
            <w:pPr>
              <w:pStyle w:val="831"/>
              <w:jc w:val="center"/>
              <w:rPr>
                <w:rFonts w:hint="eastAsia" w:ascii="宋体" w:hAnsi="宋体" w:eastAsia="宋体" w:cs="宋体"/>
                <w:sz w:val="21"/>
                <w:szCs w:val="21"/>
              </w:rPr>
            </w:pPr>
            <w:r>
              <w:rPr>
                <w:rFonts w:hint="eastAsia" w:ascii="宋体" w:hAnsi="宋体" w:eastAsia="宋体" w:cs="宋体"/>
                <w:sz w:val="21"/>
                <w:szCs w:val="21"/>
              </w:rPr>
              <w:t xml:space="preserve">1</w:t>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color w:val="000000"/>
          <w:sz w:val="24"/>
          <w:highlight w:val="lightGray"/>
        </w:rPr>
      </w:pPr>
      <w:r>
        <w:rPr>
          <w:rFonts w:hint="eastAsia" w:ascii="宋体" w:hAnsi="宋体" w:eastAsia="宋体" w:cs="宋体"/>
          <w:b/>
          <w:bCs/>
          <w:color w:val="000000"/>
          <w:sz w:val="24"/>
          <w:highlight w:val="lightGray"/>
        </w:rPr>
        <w:br w:type="page" w:clear="all"/>
      </w:r>
      <w:r/>
    </w:p>
    <w:p>
      <w:pPr>
        <w:ind w:firstLine="482"/>
        <w:spacing w:line="360" w:lineRule="auto"/>
        <w:rPr>
          <w:rFonts w:hint="eastAsia" w:ascii="宋体" w:hAnsi="宋体" w:eastAsia="宋体" w:cs="宋体"/>
          <w:b/>
          <w:bCs/>
          <w:color w:val="000000"/>
          <w:sz w:val="24"/>
          <w:highlight w:val="lightGray"/>
        </w:rPr>
      </w:pPr>
      <w:r>
        <w:rPr>
          <w:rFonts w:hint="eastAsia" w:ascii="宋体" w:hAnsi="宋体" w:eastAsia="宋体" w:cs="宋体"/>
          <w:b/>
          <w:bCs/>
          <w:color w:val="000000"/>
          <w:sz w:val="24"/>
          <w:highlight w:val="lightGray"/>
        </w:rPr>
        <w:t xml:space="preserve">4.皂河站安全管理设施改造采购清单</w:t>
      </w:r>
      <w:r/>
    </w:p>
    <w:tbl>
      <w:tblPr>
        <w:tblStyle w:val="834"/>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2116"/>
        <w:gridCol w:w="5012"/>
        <w:gridCol w:w="809"/>
        <w:gridCol w:w="706"/>
      </w:tblGrid>
      <w:tr>
        <w:trPr>
          <w:trHeight w:val="325"/>
        </w:trPr>
        <w:tc>
          <w:tcPr>
            <w:tcW w:w="714"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b/>
                <w:bCs/>
                <w:color w:val="000000"/>
                <w:szCs w:val="21"/>
              </w:rPr>
              <w:t xml:space="preserve">序号</w:t>
            </w:r>
            <w:r/>
          </w:p>
        </w:tc>
        <w:tc>
          <w:tcPr>
            <w:tcW w:w="211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b/>
                <w:bCs/>
                <w:color w:val="000000"/>
                <w:szCs w:val="21"/>
              </w:rPr>
              <w:t xml:space="preserve">设备名称</w:t>
            </w:r>
            <w:r/>
          </w:p>
        </w:tc>
        <w:tc>
          <w:tcPr>
            <w:tcW w:w="5012"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b/>
                <w:bCs/>
                <w:color w:val="000000"/>
                <w:szCs w:val="21"/>
              </w:rPr>
              <w:t xml:space="preserve">规格参数及特征描述</w:t>
            </w:r>
            <w:r/>
          </w:p>
        </w:tc>
        <w:tc>
          <w:tcPr>
            <w:tcW w:w="809"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b/>
                <w:bCs/>
                <w:color w:val="000000"/>
                <w:szCs w:val="21"/>
              </w:rPr>
              <w:t xml:space="preserve">单位</w:t>
            </w:r>
            <w:r/>
          </w:p>
        </w:tc>
        <w:tc>
          <w:tcPr>
            <w:tcW w:w="70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b/>
                <w:bCs/>
                <w:color w:val="000000"/>
                <w:szCs w:val="21"/>
              </w:rPr>
              <w:t xml:space="preserve">数量</w:t>
            </w:r>
            <w:r/>
          </w:p>
        </w:tc>
      </w:tr>
      <w:tr>
        <w:trPr>
          <w:trHeight w:val="325"/>
        </w:trPr>
        <w:tc>
          <w:tcPr>
            <w:tcW w:w="714" w:type="dxa"/>
            <w:vAlign w:val="center"/>
            <w:textDirection w:val="lrTb"/>
            <w:noWrap w:val="false"/>
          </w:tcPr>
          <w:p>
            <w:pPr>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一</w:t>
            </w:r>
            <w:r/>
          </w:p>
        </w:tc>
        <w:tc>
          <w:tcPr>
            <w:gridSpan w:val="4"/>
            <w:tcW w:w="8643"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电子界桩</w:t>
            </w:r>
            <w:r/>
          </w:p>
        </w:tc>
      </w:tr>
      <w:tr>
        <w:trPr>
          <w:trHeight w:val="3915"/>
        </w:trPr>
        <w:tc>
          <w:tcPr>
            <w:tcW w:w="71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211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电子界桩</w:t>
            </w:r>
            <w:r/>
          </w:p>
        </w:tc>
        <w:tc>
          <w:tcPr>
            <w:tcW w:w="501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安装49个，备品备件1个，具体参数要求如下：</w:t>
            </w:r>
            <w:r/>
          </w:p>
          <w:p>
            <w:pPr>
              <w:rPr>
                <w:rFonts w:hint="eastAsia" w:ascii="宋体" w:hAnsi="宋体" w:eastAsia="宋体" w:cs="宋体"/>
              </w:rPr>
            </w:pPr>
            <w:r>
              <w:rPr>
                <w:rFonts w:hint="eastAsia" w:ascii="宋体" w:hAnsi="宋体" w:cs="宋体"/>
                <w:lang w:eastAsia="zh-CN"/>
              </w:rPr>
              <w:t xml:space="preserve">1.</w:t>
            </w:r>
            <w:r>
              <w:rPr>
                <w:rFonts w:hint="eastAsia" w:ascii="宋体" w:hAnsi="宋体" w:eastAsia="宋体" w:cs="宋体"/>
              </w:rPr>
              <w:t xml:space="preserve">传感器采用不低于200万传感器，最大物理分辨率1920 × 1080。</w:t>
            </w:r>
            <w:r/>
          </w:p>
          <w:p>
            <w:pPr>
              <w:rPr>
                <w:rFonts w:hint="eastAsia" w:ascii="宋体" w:hAnsi="宋体" w:eastAsia="宋体" w:cs="宋体"/>
              </w:rPr>
            </w:pPr>
            <w:r>
              <w:rPr>
                <w:rFonts w:hint="eastAsia" w:ascii="宋体" w:hAnsi="宋体" w:cs="宋体"/>
                <w:lang w:eastAsia="zh-CN"/>
              </w:rPr>
              <w:t xml:space="preserve">2.</w:t>
            </w:r>
            <w:r>
              <w:rPr>
                <w:rFonts w:hint="eastAsia" w:ascii="宋体" w:hAnsi="宋体" w:eastAsia="宋体" w:cs="宋体"/>
              </w:rPr>
              <w:t xml:space="preserve">CMOS图像传感器靶面尺寸为1/3英寸，内置麦克风、扬声器、1个混合补光灯、1个DS2ZMD2ABCDEWL型镜头，具有1个RJ45网络接口、1个SIM卡槽、1个SD卡槽、1个复位按钮。样机采用AC220V转DC12V电源适配器能电池供电。</w:t>
            </w:r>
            <w:r/>
          </w:p>
          <w:p>
            <w:pPr>
              <w:rPr>
                <w:rFonts w:hint="eastAsia" w:ascii="宋体" w:hAnsi="宋体" w:eastAsia="宋体" w:cs="宋体"/>
              </w:rPr>
            </w:pPr>
            <w:r>
              <w:rPr>
                <w:rFonts w:hint="eastAsia" w:ascii="宋体" w:hAnsi="宋体" w:cs="宋体"/>
                <w:lang w:eastAsia="zh-CN"/>
              </w:rPr>
              <w:t xml:space="preserve">3.</w:t>
            </w:r>
            <w:r>
              <w:rPr>
                <w:rFonts w:hint="eastAsia" w:ascii="宋体" w:hAnsi="宋体" w:eastAsia="宋体" w:cs="宋体"/>
              </w:rPr>
              <w:t xml:space="preserve">具有双向语音对讲和单向语音广播功能。</w:t>
            </w:r>
            <w:r/>
          </w:p>
          <w:p>
            <w:pPr>
              <w:rPr>
                <w:rFonts w:hint="eastAsia" w:ascii="宋体" w:hAnsi="宋体" w:eastAsia="宋体" w:cs="宋体"/>
              </w:rPr>
            </w:pPr>
            <w:r>
              <w:rPr>
                <w:rFonts w:hint="eastAsia" w:ascii="宋体" w:hAnsi="宋体" w:cs="宋体"/>
                <w:lang w:eastAsia="zh-CN"/>
              </w:rPr>
              <w:t xml:space="preserve">4.</w:t>
            </w:r>
            <w:r>
              <w:rPr>
                <w:rFonts w:hint="eastAsia" w:ascii="宋体" w:hAnsi="宋体" w:eastAsia="宋体" w:cs="宋体"/>
              </w:rPr>
              <w:t xml:space="preserve">移动侦测报警触发功能：a</w:t>
            </w:r>
            <w:r>
              <w:rPr>
                <w:rFonts w:hint="eastAsia" w:ascii="宋体" w:hAnsi="宋体" w:cs="宋体"/>
                <w:lang w:eastAsia="zh-CN"/>
              </w:rPr>
              <w:t xml:space="preserve">）</w:t>
            </w:r>
            <w:r>
              <w:rPr>
                <w:rFonts w:hint="eastAsia" w:ascii="宋体" w:hAnsi="宋体" w:eastAsia="宋体" w:cs="宋体"/>
              </w:rPr>
              <w:t xml:space="preserve">能对画面物体的移动进行分析，并及时发出报警信息；b) 信号量报警输入、报警输出、报警参数设置等功能；c) 报警信息触发现场视频录像功能，支持报警触预录时长</w:t>
            </w:r>
            <w:r>
              <w:rPr>
                <w:rFonts w:hint="eastAsia" w:ascii="宋体" w:hAnsi="宋体" w:eastAsia="宋体" w:cs="宋体"/>
                <w:sz w:val="24"/>
                <w:szCs w:val="24"/>
              </w:rPr>
              <w:t xml:space="preserve">≥</w:t>
            </w:r>
            <w:r>
              <w:rPr>
                <w:rFonts w:hint="eastAsia" w:ascii="宋体" w:hAnsi="宋体" w:eastAsia="宋体" w:cs="宋体"/>
              </w:rPr>
              <w:t xml:space="preserve">5s报警后录像时长</w:t>
            </w:r>
            <w:r>
              <w:rPr>
                <w:rFonts w:hint="eastAsia" w:ascii="宋体" w:hAnsi="宋体" w:eastAsia="宋体" w:cs="宋体"/>
                <w:sz w:val="24"/>
                <w:szCs w:val="24"/>
              </w:rPr>
              <w:t xml:space="preserve">≥</w:t>
            </w:r>
            <w:r>
              <w:rPr>
                <w:rFonts w:hint="eastAsia" w:ascii="宋体" w:hAnsi="宋体" w:eastAsia="宋体" w:cs="宋体"/>
              </w:rPr>
              <w:t xml:space="preserve">15s；d</w:t>
            </w:r>
            <w:r>
              <w:rPr>
                <w:rFonts w:hint="eastAsia" w:ascii="宋体" w:hAnsi="宋体" w:cs="宋体"/>
                <w:lang w:eastAsia="zh-CN"/>
              </w:rPr>
              <w:t xml:space="preserve">）</w:t>
            </w:r>
            <w:r>
              <w:rPr>
                <w:rFonts w:hint="eastAsia" w:ascii="宋体" w:hAnsi="宋体" w:eastAsia="宋体" w:cs="宋体"/>
              </w:rPr>
              <w:t xml:space="preserve">故障报警功能</w:t>
            </w:r>
            <w:r/>
          </w:p>
          <w:p>
            <w:pPr>
              <w:rPr>
                <w:rFonts w:hint="eastAsia" w:ascii="宋体" w:hAnsi="宋体" w:eastAsia="宋体" w:cs="宋体"/>
              </w:rPr>
            </w:pPr>
            <w:r>
              <w:rPr>
                <w:rFonts w:hint="eastAsia" w:ascii="宋体" w:hAnsi="宋体" w:cs="宋体"/>
                <w:lang w:eastAsia="zh-CN"/>
              </w:rPr>
              <w:t xml:space="preserve">5.</w:t>
            </w:r>
            <w:r>
              <w:rPr>
                <w:rFonts w:hint="eastAsia" w:ascii="宋体" w:hAnsi="宋体" w:eastAsia="宋体" w:cs="宋体"/>
              </w:rPr>
              <w:t xml:space="preserve">支持三种低功耗模式</w:t>
            </w:r>
            <w:r>
              <w:rPr>
                <w:rFonts w:hint="eastAsia" w:ascii="宋体" w:hAnsi="宋体" w:cs="宋体"/>
                <w:lang w:eastAsia="zh-CN"/>
              </w:rPr>
              <w:t xml:space="preserve">：</w:t>
            </w:r>
            <w:r>
              <w:rPr>
                <w:rFonts w:hint="eastAsia" w:ascii="宋体" w:hAnsi="宋体" w:eastAsia="宋体" w:cs="宋体"/>
              </w:rPr>
              <w:t xml:space="preserve">低功耗实时模式、休眠唤醒模式、AOV 模式；休眠唤醒模式下设备进入休眠状态，仅远程访问或满足值守触发条件时唤醒设备。</w:t>
            </w:r>
            <w:r/>
          </w:p>
          <w:p>
            <w:pPr>
              <w:rPr>
                <w:rFonts w:hint="eastAsia" w:ascii="宋体" w:hAnsi="宋体" w:eastAsia="宋体" w:cs="宋体"/>
              </w:rPr>
            </w:pPr>
            <w:r>
              <w:rPr>
                <w:rFonts w:hint="eastAsia" w:ascii="宋体" w:hAnsi="宋体" w:cs="宋体"/>
                <w:lang w:eastAsia="zh-CN"/>
              </w:rPr>
              <w:t xml:space="preserve">6.</w:t>
            </w:r>
            <w:r>
              <w:rPr>
                <w:rFonts w:hint="eastAsia" w:ascii="宋体" w:hAnsi="宋体" w:eastAsia="宋体" w:cs="宋体"/>
              </w:rPr>
              <w:t xml:space="preserve">具有PIR检测功能，可检测人体的红外辐射变化，并联动报警、上传中心、上传FTP/SD卡/NAS、联动录像，报警灵敏度可设置</w:t>
            </w:r>
            <w:r/>
          </w:p>
          <w:p>
            <w:pPr>
              <w:rPr>
                <w:rFonts w:hint="eastAsia" w:ascii="宋体" w:hAnsi="宋体" w:eastAsia="宋体" w:cs="宋体"/>
              </w:rPr>
            </w:pPr>
            <w:r>
              <w:rPr>
                <w:rFonts w:hint="eastAsia" w:ascii="宋体" w:hAnsi="宋体" w:cs="宋体"/>
                <w:lang w:eastAsia="zh-CN"/>
              </w:rPr>
              <w:t xml:space="preserve">7.</w:t>
            </w:r>
            <w:r>
              <w:rPr>
                <w:rFonts w:hint="eastAsia" w:ascii="宋体" w:hAnsi="宋体" w:eastAsia="宋体" w:cs="宋体"/>
              </w:rPr>
              <w:t xml:space="preserve">当检测区域内有目标</w:t>
            </w:r>
            <w:r>
              <w:rPr>
                <w:rFonts w:hint="eastAsia" w:ascii="宋体" w:hAnsi="宋体" w:cs="宋体"/>
                <w:lang w:eastAsia="zh-CN"/>
              </w:rPr>
              <w:t xml:space="preserve">（</w:t>
            </w:r>
            <w:r>
              <w:rPr>
                <w:rFonts w:hint="eastAsia" w:ascii="宋体" w:hAnsi="宋体" w:eastAsia="宋体" w:cs="宋体"/>
              </w:rPr>
              <w:t xml:space="preserve">人和/或车辆</w:t>
            </w:r>
            <w:r>
              <w:rPr>
                <w:rFonts w:hint="eastAsia" w:ascii="宋体" w:hAnsi="宋体" w:cs="宋体"/>
                <w:lang w:eastAsia="zh-CN"/>
              </w:rPr>
              <w:t xml:space="preserve">）</w:t>
            </w:r>
            <w:r>
              <w:rPr>
                <w:rFonts w:hint="eastAsia" w:ascii="宋体" w:hAnsi="宋体" w:eastAsia="宋体" w:cs="宋体"/>
              </w:rPr>
              <w:t xml:space="preserve">移动时，可联动报警、上传中心、上传FTP/SD卡/NAS、联动录像报警检测目标可设置为人体和/或车辆</w:t>
            </w:r>
            <w:r/>
          </w:p>
          <w:p>
            <w:pPr>
              <w:rPr>
                <w:rFonts w:hint="eastAsia" w:ascii="宋体" w:hAnsi="宋体" w:eastAsia="宋体" w:cs="宋体"/>
              </w:rPr>
            </w:pPr>
            <w:r>
              <w:rPr>
                <w:rFonts w:hint="eastAsia" w:ascii="宋体" w:hAnsi="宋体" w:cs="宋体"/>
                <w:lang w:eastAsia="zh-CN"/>
              </w:rPr>
              <w:t xml:space="preserve">8.</w:t>
            </w:r>
            <w:r>
              <w:rPr>
                <w:rFonts w:hint="eastAsia" w:ascii="宋体" w:hAnsi="宋体" w:eastAsia="宋体" w:cs="宋体"/>
              </w:rPr>
              <w:t xml:space="preserve">支持电信、移动、联通三大运营商的4G信号接入，支持SIM卡热插拔</w:t>
            </w:r>
            <w:r/>
          </w:p>
          <w:p>
            <w:pPr>
              <w:rPr>
                <w:rFonts w:hint="eastAsia" w:ascii="宋体" w:hAnsi="宋体" w:eastAsia="宋体" w:cs="宋体"/>
              </w:rPr>
            </w:pPr>
            <w:r>
              <w:rPr>
                <w:rFonts w:hint="eastAsia" w:ascii="宋体" w:hAnsi="宋体" w:cs="宋体"/>
                <w:lang w:eastAsia="zh-CN"/>
              </w:rPr>
              <w:t xml:space="preserve">9.</w:t>
            </w:r>
            <w:r>
              <w:rPr>
                <w:rFonts w:hint="eastAsia" w:ascii="宋体" w:hAnsi="宋体" w:eastAsia="宋体" w:cs="宋体"/>
              </w:rPr>
              <w:t xml:space="preserve">支持通过0SD叠加显示电池电量信息</w:t>
            </w:r>
            <w:r/>
          </w:p>
          <w:p>
            <w:pPr>
              <w:rPr>
                <w:rFonts w:hint="eastAsia" w:ascii="宋体" w:hAnsi="宋体" w:eastAsia="宋体" w:cs="宋体"/>
              </w:rPr>
            </w:pPr>
            <w:r>
              <w:rPr>
                <w:rFonts w:hint="eastAsia" w:ascii="宋体" w:hAnsi="宋体" w:cs="宋体"/>
                <w:lang w:eastAsia="zh-CN"/>
              </w:rPr>
              <w:t xml:space="preserve">10.</w:t>
            </w:r>
            <w:r>
              <w:rPr>
                <w:rFonts w:hint="eastAsia" w:ascii="宋体" w:hAnsi="宋体" w:eastAsia="宋体" w:cs="宋体"/>
              </w:rPr>
              <w:t xml:space="preserve">开启红外补光灯，在夜晚天气晴朗无遮挡的情况下，可识别距离样机15m处的人体</w:t>
            </w:r>
            <w:r>
              <w:rPr>
                <w:rFonts w:hint="eastAsia" w:ascii="宋体" w:hAnsi="宋体" w:cs="宋体"/>
                <w:lang w:eastAsia="zh-CN"/>
              </w:rPr>
              <w:t xml:space="preserve">（</w:t>
            </w:r>
            <w:r>
              <w:rPr>
                <w:rFonts w:hint="eastAsia" w:ascii="宋体" w:hAnsi="宋体" w:eastAsia="宋体" w:cs="宋体"/>
              </w:rPr>
              <w:t xml:space="preserve">1.7mx0.5m</w:t>
            </w:r>
            <w:r>
              <w:rPr>
                <w:rFonts w:hint="eastAsia" w:ascii="宋体" w:hAnsi="宋体" w:cs="宋体"/>
                <w:lang w:eastAsia="zh-CN"/>
              </w:rPr>
              <w:t xml:space="preserve">）</w:t>
            </w:r>
            <w:r>
              <w:rPr>
                <w:rFonts w:hint="eastAsia" w:ascii="宋体" w:hAnsi="宋体" w:eastAsia="宋体" w:cs="宋体"/>
              </w:rPr>
              <w:t xml:space="preserve">轮廓；开启白光补光灯，在夜晚天气晴朗无遮挡的情况下，可识别距离样机10m处的人体</w:t>
            </w:r>
            <w:r>
              <w:rPr>
                <w:rFonts w:hint="eastAsia" w:ascii="宋体" w:hAnsi="宋体" w:cs="宋体"/>
                <w:lang w:eastAsia="zh-CN"/>
              </w:rPr>
              <w:t xml:space="preserve">（</w:t>
            </w:r>
            <w:r>
              <w:rPr>
                <w:rFonts w:hint="eastAsia" w:ascii="宋体" w:hAnsi="宋体" w:eastAsia="宋体" w:cs="宋体"/>
              </w:rPr>
              <w:t xml:space="preserve">1.7mx0.5m</w:t>
            </w:r>
            <w:r>
              <w:rPr>
                <w:rFonts w:hint="eastAsia" w:ascii="宋体" w:hAnsi="宋体" w:cs="宋体"/>
                <w:lang w:eastAsia="zh-CN"/>
              </w:rPr>
              <w:t xml:space="preserve">）</w:t>
            </w:r>
            <w:r>
              <w:rPr>
                <w:rFonts w:hint="eastAsia" w:ascii="宋体" w:hAnsi="宋体" w:eastAsia="宋体" w:cs="宋体"/>
              </w:rPr>
              <w:t xml:space="preserve">轮廓。</w:t>
            </w:r>
            <w:r/>
          </w:p>
          <w:p>
            <w:pPr>
              <w:rPr>
                <w:rFonts w:hint="eastAsia" w:ascii="宋体" w:hAnsi="宋体" w:eastAsia="宋体" w:cs="宋体"/>
              </w:rPr>
            </w:pPr>
            <w:r>
              <w:rPr>
                <w:rFonts w:hint="eastAsia" w:ascii="宋体" w:hAnsi="宋体" w:cs="宋体"/>
                <w:lang w:eastAsia="zh-CN"/>
              </w:rPr>
              <w:t xml:space="preserve">11.</w:t>
            </w:r>
            <w:r>
              <w:rPr>
                <w:rFonts w:hint="eastAsia" w:ascii="宋体" w:hAnsi="宋体" w:eastAsia="宋体" w:cs="宋体"/>
              </w:rPr>
              <w:t xml:space="preserve">样机可对内置SIM卡使用流量进行统计，并可分别显示上行和下行流量，可按日、月、年进行统计，将样机流量统计结果与</w:t>
            </w:r>
            <w:r>
              <w:rPr>
                <w:rFonts w:hint="eastAsia" w:ascii="宋体" w:hAnsi="宋体" w:cs="宋体"/>
                <w:lang w:eastAsia="zh-CN"/>
              </w:rPr>
              <w:t xml:space="preserve">通信运营商</w:t>
            </w:r>
            <w:r>
              <w:rPr>
                <w:rFonts w:hint="eastAsia" w:ascii="宋体" w:hAnsi="宋体" w:eastAsia="宋体" w:cs="宋体"/>
              </w:rPr>
              <w:t xml:space="preserve">提供的数据进行比对，200MB内误差不大于1MB</w:t>
            </w:r>
            <w:r/>
          </w:p>
          <w:p>
            <w:pPr>
              <w:rPr>
                <w:rFonts w:hint="eastAsia" w:ascii="宋体" w:hAnsi="宋体" w:eastAsia="宋体" w:cs="宋体"/>
              </w:rPr>
            </w:pPr>
            <w:r>
              <w:rPr>
                <w:rFonts w:hint="eastAsia" w:ascii="宋体" w:hAnsi="宋体" w:cs="宋体"/>
                <w:lang w:eastAsia="zh-CN"/>
              </w:rPr>
              <w:t xml:space="preserve">13.</w:t>
            </w:r>
            <w:r>
              <w:rPr>
                <w:rFonts w:hint="eastAsia" w:ascii="宋体" w:hAnsi="宋体" w:eastAsia="宋体" w:cs="宋体"/>
              </w:rPr>
              <w:t xml:space="preserve">当样机发生倾斜并超过</w:t>
            </w:r>
            <w:r>
              <w:rPr>
                <w:rFonts w:hint="eastAsia" w:ascii="宋体" w:hAnsi="宋体" w:cs="宋体"/>
                <w:lang w:eastAsia="zh-CN"/>
              </w:rPr>
              <w:t xml:space="preserve">阈值</w:t>
            </w:r>
            <w:r>
              <w:rPr>
                <w:rFonts w:hint="eastAsia" w:ascii="宋体" w:hAnsi="宋体" w:eastAsia="宋体" w:cs="宋体"/>
              </w:rPr>
              <w:t xml:space="preserve">时，可联动报警、上传中心、上传FTP/SD卡/NAS、联动录像</w:t>
            </w:r>
            <w:r/>
          </w:p>
          <w:p>
            <w:pPr>
              <w:rPr>
                <w:rFonts w:hint="eastAsia" w:ascii="宋体" w:hAnsi="宋体" w:eastAsia="宋体" w:cs="宋体"/>
                <w:color w:val="000000"/>
                <w:szCs w:val="21"/>
              </w:rPr>
            </w:pPr>
            <w:r>
              <w:rPr>
                <w:rFonts w:hint="eastAsia" w:ascii="宋体" w:hAnsi="宋体" w:cs="宋体"/>
                <w:lang w:eastAsia="zh-CN"/>
              </w:rPr>
              <w:t xml:space="preserve">14.</w:t>
            </w:r>
            <w:r>
              <w:rPr>
                <w:rFonts w:hint="eastAsia" w:ascii="宋体" w:hAnsi="宋体" w:eastAsia="宋体" w:cs="宋体"/>
              </w:rPr>
              <w:t xml:space="preserve">外壳防护能力符合GB/T 4208-2017中IP67的要求。</w:t>
            </w:r>
            <w:r/>
          </w:p>
        </w:tc>
        <w:tc>
          <w:tcPr>
            <w:tcW w:w="80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W w:w="70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317"/>
        </w:trPr>
        <w:tc>
          <w:tcPr>
            <w:tcW w:w="71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W w:w="211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电子界桩存储卡</w:t>
            </w:r>
            <w:r/>
          </w:p>
        </w:tc>
        <w:tc>
          <w:tcPr>
            <w:tcW w:w="501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512G</w:t>
            </w:r>
            <w:r/>
          </w:p>
        </w:tc>
        <w:tc>
          <w:tcPr>
            <w:tcW w:w="80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325"/>
        </w:trPr>
        <w:tc>
          <w:tcPr>
            <w:tcW w:w="714"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W w:w="211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电子界桩流量卡</w:t>
            </w:r>
            <w:r/>
          </w:p>
        </w:tc>
        <w:tc>
          <w:tcPr>
            <w:tcW w:w="501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每个月10G，一年费用</w:t>
            </w:r>
            <w:r/>
          </w:p>
        </w:tc>
        <w:tc>
          <w:tcPr>
            <w:tcW w:w="809"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50</w:t>
            </w:r>
            <w:r/>
          </w:p>
        </w:tc>
      </w:tr>
      <w:tr>
        <w:trPr>
          <w:trHeight w:val="621"/>
        </w:trPr>
        <w:tc>
          <w:tcPr>
            <w:tcW w:w="71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W w:w="211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土建基础</w:t>
            </w:r>
            <w:r/>
          </w:p>
        </w:tc>
        <w:tc>
          <w:tcPr>
            <w:tcW w:w="501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电子界桩混凝土基础50cm*30cm*30cm，钢筋笼，预埋基础件</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49</w:t>
            </w:r>
            <w:r/>
          </w:p>
        </w:tc>
      </w:tr>
      <w:tr>
        <w:trPr>
          <w:trHeight w:val="325"/>
        </w:trPr>
        <w:tc>
          <w:tcPr>
            <w:tcW w:w="71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W w:w="211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界桩安装调试</w:t>
            </w:r>
            <w:r/>
          </w:p>
        </w:tc>
        <w:tc>
          <w:tcPr>
            <w:tcW w:w="501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安装调试，辅材等</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49</w:t>
            </w:r>
            <w:r/>
          </w:p>
        </w:tc>
      </w:tr>
      <w:tr>
        <w:trPr>
          <w:trHeight w:val="621"/>
        </w:trPr>
        <w:tc>
          <w:tcPr>
            <w:tcW w:w="71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6</w:t>
            </w:r>
            <w:r/>
          </w:p>
        </w:tc>
        <w:tc>
          <w:tcPr>
            <w:tcW w:w="211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▲电子界桩管理平台</w:t>
            </w:r>
            <w:r/>
          </w:p>
        </w:tc>
        <w:tc>
          <w:tcPr>
            <w:tcW w:w="501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支持电子界桩管理、事件识别、事件查询、预警播报等功能</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917"/>
        </w:trPr>
        <w:tc>
          <w:tcPr>
            <w:tcW w:w="71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7</w:t>
            </w:r>
            <w:r/>
          </w:p>
        </w:tc>
        <w:tc>
          <w:tcPr>
            <w:tcW w:w="211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平台工作站</w:t>
            </w:r>
            <w:r/>
          </w:p>
        </w:tc>
        <w:tc>
          <w:tcPr>
            <w:tcW w:w="5012" w:type="dxa"/>
            <w:vAlign w:val="center"/>
            <w:textDirection w:val="lrTb"/>
            <w:noWrap w:val="false"/>
          </w:tcPr>
          <w:p>
            <w:pPr>
              <w:jc w:val="left"/>
              <w:rPr>
                <w:rFonts w:hint="eastAsia" w:ascii="宋体" w:hAnsi="宋体" w:eastAsia="宋体" w:cs="宋体"/>
                <w:color w:val="000000"/>
                <w:szCs w:val="21"/>
              </w:rPr>
            </w:pPr>
            <w:r>
              <w:rPr>
                <w:rFonts w:hint="eastAsia" w:ascii="宋体" w:hAnsi="宋体" w:eastAsia="宋体" w:cs="宋体"/>
                <w:color w:val="000000"/>
                <w:szCs w:val="21"/>
              </w:rPr>
              <w:t xml:space="preserve">用于安装界桩管理平台。16核CPU，32GB内存，512G+2TB ，含平台工作站所需网络，支持4G流量卡。</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403"/>
        </w:trPr>
        <w:tc>
          <w:tcPr>
            <w:tcW w:w="714" w:type="dxa"/>
            <w:vAlign w:val="center"/>
            <w:textDirection w:val="lrTb"/>
            <w:noWrap w:val="false"/>
          </w:tcPr>
          <w:p>
            <w:pPr>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二</w:t>
            </w:r>
            <w:r/>
          </w:p>
        </w:tc>
        <w:tc>
          <w:tcPr>
            <w:gridSpan w:val="4"/>
            <w:tcW w:w="8643"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视频监控AI智能分析及语音驱离</w:t>
            </w:r>
            <w:r/>
          </w:p>
        </w:tc>
      </w:tr>
      <w:tr>
        <w:trPr>
          <w:trHeight w:val="1119"/>
        </w:trPr>
        <w:tc>
          <w:tcPr>
            <w:tcW w:w="71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W w:w="2116"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入侵检测摄像机</w:t>
            </w:r>
            <w:r/>
          </w:p>
        </w:tc>
        <w:tc>
          <w:tcPr>
            <w:tcW w:w="5012"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黑光球形摄像机，视频分辨率与帧率不小于2560×1440、25帧/秒；摄像机靶面尺寸不小于1/1.8英寸；摄像机内置2个图像传感器，可分别输出黑白视频图像和彩色视频图像，支持开启及关闭。</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845"/>
        </w:trPr>
        <w:tc>
          <w:tcPr>
            <w:tcW w:w="714"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W w:w="2116"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高分贝语音警告驱离设备</w:t>
            </w:r>
            <w:r/>
          </w:p>
        </w:tc>
        <w:tc>
          <w:tcPr>
            <w:tcW w:w="5012"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 额定功率：60 W</w:t>
            </w:r>
            <w:r>
              <w:rPr>
                <w:rFonts w:hint="eastAsia" w:ascii="宋体" w:hAnsi="宋体" w:eastAsia="宋体" w:cs="宋体"/>
                <w:color w:val="000000"/>
                <w:szCs w:val="21"/>
              </w:rPr>
              <w:br/>
            </w:r>
            <w:r>
              <w:rPr>
                <w:rFonts w:hint="eastAsia" w:ascii="宋体" w:hAnsi="宋体" w:eastAsia="宋体" w:cs="宋体"/>
                <w:color w:val="000000"/>
                <w:szCs w:val="21"/>
              </w:rPr>
              <w:t xml:space="preserve">最大声压级（1 m）：106 dBSPL</w:t>
            </w:r>
            <w:r>
              <w:rPr>
                <w:rFonts w:hint="eastAsia" w:ascii="宋体" w:hAnsi="宋体" w:eastAsia="宋体" w:cs="宋体"/>
                <w:color w:val="000000"/>
                <w:szCs w:val="21"/>
              </w:rPr>
              <w:br/>
            </w:r>
            <w:r>
              <w:rPr>
                <w:rFonts w:hint="eastAsia" w:ascii="宋体" w:hAnsi="宋体" w:eastAsia="宋体" w:cs="宋体"/>
                <w:color w:val="000000"/>
                <w:szCs w:val="21"/>
              </w:rPr>
              <w:t xml:space="preserve">频率响应：100 Hz~20 kHz</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台</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845"/>
        </w:trPr>
        <w:tc>
          <w:tcPr>
            <w:tcW w:w="714"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W w:w="2116"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供电、网络施工</w:t>
            </w:r>
            <w:r/>
          </w:p>
        </w:tc>
        <w:tc>
          <w:tcPr>
            <w:tcW w:w="5012"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从泵站</w:t>
            </w:r>
            <w:r>
              <w:rPr>
                <w:rFonts w:hint="eastAsia" w:ascii="宋体" w:hAnsi="宋体" w:cs="宋体"/>
                <w:color w:val="000000"/>
                <w:szCs w:val="21"/>
                <w:lang w:eastAsia="zh-CN"/>
              </w:rPr>
              <w:t xml:space="preserve">引接</w:t>
            </w:r>
            <w:r>
              <w:rPr>
                <w:rFonts w:hint="eastAsia" w:ascii="宋体" w:hAnsi="宋体" w:eastAsia="宋体" w:cs="宋体"/>
                <w:color w:val="000000"/>
                <w:szCs w:val="21"/>
              </w:rPr>
              <w:t xml:space="preserve">电源和网络线路施工，包含挖沟、钻孔、地面和绿化恢复、预埋管，电源线3*1.5mm</w:t>
            </w:r>
            <w:r>
              <w:rPr>
                <w:rFonts w:hint="eastAsia" w:ascii="宋体" w:hAnsi="宋体" w:eastAsia="宋体" w:cs="宋体"/>
                <w:color w:val="000000"/>
                <w:szCs w:val="21"/>
                <w:vertAlign w:val="superscript"/>
              </w:rPr>
              <w:t xml:space="preserve">2</w:t>
            </w:r>
            <w:r>
              <w:rPr>
                <w:rFonts w:hint="eastAsia" w:ascii="宋体" w:hAnsi="宋体" w:eastAsia="宋体" w:cs="宋体"/>
                <w:color w:val="000000"/>
                <w:szCs w:val="21"/>
              </w:rPr>
              <w:t xml:space="preserve"> ，超五类线。</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569"/>
        </w:trPr>
        <w:tc>
          <w:tcPr>
            <w:tcW w:w="714" w:type="dxa"/>
            <w:vAlign w:val="center"/>
            <w:textDirection w:val="lrTb"/>
            <w:noWrap w:val="false"/>
          </w:tcPr>
          <w:p>
            <w:pPr>
              <w:jc w:val="center"/>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4</w:t>
            </w:r>
            <w:r/>
          </w:p>
        </w:tc>
        <w:tc>
          <w:tcPr>
            <w:tcW w:w="2116"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高杆安装及接地</w:t>
            </w:r>
            <w:r/>
          </w:p>
        </w:tc>
        <w:tc>
          <w:tcPr>
            <w:tcW w:w="5012"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视频安装杆混凝土基础100*60*60cm，钢筋笼、预埋基础件、热镀锌接地极等</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569"/>
        </w:trPr>
        <w:tc>
          <w:tcPr>
            <w:tcW w:w="714" w:type="dxa"/>
            <w:vAlign w:val="center"/>
            <w:textDirection w:val="lrTb"/>
            <w:noWrap w:val="false"/>
          </w:tcPr>
          <w:p>
            <w:pPr>
              <w:jc w:val="center"/>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5</w:t>
            </w:r>
            <w:r/>
          </w:p>
        </w:tc>
        <w:tc>
          <w:tcPr>
            <w:tcW w:w="2116"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摄像机高杆</w:t>
            </w:r>
            <w:r/>
          </w:p>
        </w:tc>
        <w:tc>
          <w:tcPr>
            <w:tcW w:w="5012"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安装法兰盘，8米摄像杆口径110-210</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5mm </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八角杆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、热镀锌材质</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套</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4</w:t>
            </w:r>
            <w:r/>
          </w:p>
        </w:tc>
      </w:tr>
      <w:tr>
        <w:trPr>
          <w:trHeight w:val="845"/>
        </w:trPr>
        <w:tc>
          <w:tcPr>
            <w:tcW w:w="714" w:type="dxa"/>
            <w:vAlign w:val="center"/>
            <w:textDirection w:val="lrTb"/>
            <w:noWrap w:val="false"/>
          </w:tcPr>
          <w:p>
            <w:pPr>
              <w:jc w:val="center"/>
              <w:widowControl/>
              <w:rPr>
                <w:rFonts w:hint="eastAsia" w:ascii="宋体" w:hAnsi="宋体" w:eastAsia="宋体" w:cs="宋体"/>
                <w:color w:val="000000"/>
                <w:sz w:val="24"/>
                <w:szCs w:val="28"/>
              </w:rPr>
            </w:pPr>
            <w:r>
              <w:rPr>
                <w:rFonts w:hint="eastAsia" w:ascii="宋体" w:hAnsi="宋体" w:eastAsia="宋体" w:cs="宋体"/>
                <w:color w:val="000000"/>
                <w:sz w:val="24"/>
                <w:szCs w:val="28"/>
              </w:rPr>
              <w:t xml:space="preserve">6</w:t>
            </w:r>
            <w:r/>
          </w:p>
        </w:tc>
        <w:tc>
          <w:tcPr>
            <w:tcW w:w="211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▲入侵检测算法训练</w:t>
            </w:r>
            <w:r/>
          </w:p>
        </w:tc>
        <w:tc>
          <w:tcPr>
            <w:tcW w:w="5012"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利用AI图像识别算法，针对人员、捕鱼、钓鱼、船只入侵等行为进行自动识别，并联动驱离系统进行告警驱离。识别率不小于90%</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536"/>
        </w:trPr>
        <w:tc>
          <w:tcPr>
            <w:tcW w:w="714"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t xml:space="preserve">7</w:t>
            </w:r>
            <w:r/>
          </w:p>
        </w:tc>
        <w:tc>
          <w:tcPr>
            <w:tcW w:w="2116"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入侵驱离安装调试</w:t>
            </w:r>
            <w:r/>
          </w:p>
        </w:tc>
        <w:tc>
          <w:tcPr>
            <w:tcW w:w="5012" w:type="dxa"/>
            <w:vAlign w:val="center"/>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t xml:space="preserve">含单向网闸等调试，线缆辅材，安装</w:t>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r>
        <w:trPr>
          <w:trHeight w:val="589"/>
        </w:trPr>
        <w:tc>
          <w:tcPr>
            <w:tcW w:w="714" w:type="dxa"/>
            <w:vAlign w:val="center"/>
            <w:textDirection w:val="lrTb"/>
            <w:noWrap w:val="false"/>
          </w:tcPr>
          <w:p>
            <w:pPr>
              <w:jc w:val="center"/>
              <w:rPr>
                <w:rFonts w:hint="eastAsia" w:ascii="宋体" w:hAnsi="宋体" w:eastAsia="宋体" w:cs="宋体"/>
                <w:b/>
                <w:bCs/>
                <w:color w:val="000000"/>
                <w:szCs w:val="21"/>
              </w:rPr>
            </w:pPr>
            <w:r>
              <w:rPr>
                <w:rFonts w:hint="eastAsia" w:ascii="宋体" w:hAnsi="宋体" w:eastAsia="宋体" w:cs="宋体"/>
                <w:b/>
                <w:bCs/>
                <w:color w:val="000000"/>
                <w:szCs w:val="21"/>
              </w:rPr>
              <w:t xml:space="preserve">三</w:t>
            </w:r>
            <w:r/>
          </w:p>
        </w:tc>
        <w:tc>
          <w:tcPr>
            <w:tcW w:w="2116"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视频监控摄像头拾音告警系统</w:t>
            </w:r>
            <w:r/>
          </w:p>
        </w:tc>
        <w:tc>
          <w:tcPr>
            <w:tcW w:w="5012" w:type="dxa"/>
            <w:textDirection w:val="lrTb"/>
            <w:noWrap w:val="false"/>
          </w:tcPr>
          <w:p>
            <w:pP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W w:w="809"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项</w:t>
            </w:r>
            <w:r/>
          </w:p>
        </w:tc>
        <w:tc>
          <w:tcPr>
            <w:tcW w:w="706"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p>
        </w:tc>
      </w:tr>
    </w:tbl>
    <w:p>
      <w:pPr>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b/>
          <w:i/>
          <w:iCs/>
          <w:color w:val="ff0000"/>
          <w:sz w:val="24"/>
        </w:rPr>
      </w:pPr>
      <w:r>
        <w:rPr>
          <w:rStyle w:val="1056"/>
          <w:rFonts w:hint="eastAsia" w:ascii="宋体" w:hAnsi="宋体" w:eastAsia="宋体" w:cs="宋体"/>
          <w:b/>
          <w:bCs/>
          <w:i/>
          <w:iCs/>
          <w:sz w:val="24"/>
          <w:szCs w:val="24"/>
        </w:rPr>
        <w:t xml:space="preserve">本次采购的</w:t>
      </w:r>
      <w:r>
        <w:rPr>
          <w:rStyle w:val="1056"/>
          <w:rFonts w:hint="eastAsia" w:ascii="宋体" w:hAnsi="宋体" w:eastAsia="宋体" w:cs="宋体"/>
          <w:b/>
          <w:bCs/>
          <w:i/>
          <w:iCs/>
          <w:color w:val="ff0000"/>
          <w:sz w:val="24"/>
          <w:szCs w:val="24"/>
        </w:rPr>
        <w:t xml:space="preserve">视频监控设备</w:t>
      </w:r>
      <w:r>
        <w:rPr>
          <w:rStyle w:val="1056"/>
          <w:rFonts w:hint="eastAsia" w:ascii="宋体" w:hAnsi="宋体" w:cs="宋体"/>
          <w:b/>
          <w:bCs/>
          <w:i/>
          <w:iCs/>
          <w:color w:val="ff0000"/>
          <w:sz w:val="24"/>
          <w:szCs w:val="24"/>
          <w:lang w:eastAsia="zh-CN"/>
        </w:rPr>
        <w:t xml:space="preserve">、</w:t>
      </w:r>
      <w:r>
        <w:rPr>
          <w:rStyle w:val="1056"/>
          <w:rFonts w:hint="eastAsia" w:ascii="宋体" w:hAnsi="宋体" w:cs="宋体"/>
          <w:b/>
          <w:bCs/>
          <w:i/>
          <w:iCs/>
          <w:color w:val="ff0000"/>
          <w:sz w:val="24"/>
          <w:szCs w:val="24"/>
          <w:lang w:val="en-US" w:eastAsia="zh-CN"/>
        </w:rPr>
        <w:t xml:space="preserve">显示设备</w:t>
      </w:r>
      <w:r>
        <w:rPr>
          <w:rStyle w:val="1056"/>
          <w:rFonts w:hint="eastAsia" w:ascii="宋体" w:hAnsi="宋体" w:eastAsia="宋体" w:cs="宋体"/>
          <w:b/>
          <w:bCs/>
          <w:i/>
          <w:iCs/>
          <w:sz w:val="24"/>
          <w:szCs w:val="24"/>
        </w:rPr>
        <w:t xml:space="preserve">属于政府强制采购产品。针对上述所投产品，供应商响应文件中须提供国家市场监督管理总局</w:t>
      </w:r>
      <w:r>
        <w:rPr>
          <w:rFonts w:hint="eastAsia" w:ascii="宋体" w:hAnsi="宋体" w:eastAsia="宋体" w:cs="宋体"/>
          <w:b/>
          <w:i/>
          <w:iCs/>
          <w:sz w:val="24"/>
        </w:rPr>
        <w:t xml:space="preserve">确定的列入“参与实施政府采购节能产品认证机构名录”内的认证机构出具的、有效期内的该 产品的节能产品认证证书电子件；否则，</w:t>
      </w:r>
      <w:r>
        <w:rPr>
          <w:rFonts w:hint="eastAsia" w:ascii="宋体" w:hAnsi="宋体" w:eastAsia="宋体" w:cs="宋体"/>
          <w:b/>
          <w:i/>
          <w:iCs/>
          <w:color w:val="ff0000"/>
          <w:sz w:val="24"/>
        </w:rPr>
        <w:t xml:space="preserve">按无效标处理。</w:t>
      </w:r>
      <w:r/>
    </w:p>
    <w:p>
      <w:pPr>
        <w:ind w:firstLine="1920"/>
        <w:jc w:val="left"/>
        <w:spacing w:line="360" w:lineRule="auto"/>
        <w:rPr>
          <w:rFonts w:hint="default" w:ascii="宋体" w:hAnsi="宋体" w:eastAsia="宋体" w:cs="宋体"/>
          <w:b w:val="0"/>
          <w:bCs/>
          <w:i w:val="0"/>
          <w:iCs w:val="0"/>
          <w:color w:val="auto"/>
          <w:sz w:val="24"/>
          <w:lang w:val="en-US" w:eastAsia="zh-CN"/>
        </w:rPr>
      </w:pPr>
      <w:r>
        <w:rPr>
          <w:rFonts w:hint="eastAsia" w:ascii="宋体" w:hAnsi="宋体" w:cs="宋体"/>
          <w:b w:val="0"/>
          <w:bCs/>
          <w:i w:val="0"/>
          <w:iCs w:val="0"/>
          <w:color w:val="auto"/>
          <w:sz w:val="24"/>
          <w:lang w:val="en-US" w:eastAsia="zh-CN"/>
        </w:rPr>
        <w:t xml:space="preserve">节能产品政府采购品目清单</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5"/>
        <w:gridCol w:w="2470"/>
        <w:gridCol w:w="3114"/>
      </w:tblGrid>
      <w:tr>
        <w:trPr>
          <w:trHeight w:val="502"/>
        </w:trPr>
        <w:tc>
          <w:tcPr>
            <w:tcW w:w="9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序号</w:t>
            </w:r>
            <w:r/>
          </w:p>
        </w:tc>
        <w:tc>
          <w:tcPr>
            <w:tcW w:w="247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名称</w:t>
            </w:r>
            <w:r/>
          </w:p>
        </w:tc>
        <w:tc>
          <w:tcPr>
            <w:tcW w:w="3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17"/>
        </w:trPr>
        <w:tc>
          <w:tcPr>
            <w:tcW w:w="93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shd w:val="clear" w:color="auto" w:fill="auto"/>
            <w:tcW w:w="2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A020911视频设备</w:t>
            </w:r>
            <w:r/>
          </w:p>
        </w:tc>
        <w:tc>
          <w:tcPr>
            <w:shd w:val="clear" w:color="auto" w:fill="auto"/>
            <w:tcW w:w="311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ascii="宋体" w:hAnsi="宋体" w:eastAsia="宋体" w:cs="宋体"/>
                <w:sz w:val="24"/>
                <w:szCs w:val="24"/>
              </w:rPr>
              <w:t xml:space="preserve">A02091107 视频监控设备</w:t>
            </w:r>
            <w:r/>
          </w:p>
        </w:tc>
      </w:tr>
      <w:tr>
        <w:trPr>
          <w:trHeight w:val="517"/>
        </w:trPr>
        <w:tc>
          <w:tcPr>
            <w:tcW w:w="935" w:type="dxa"/>
            <w:vAlign w:val="center"/>
            <w:textDirection w:val="lrTb"/>
            <w:noWrap w:val="false"/>
          </w:tcPr>
          <w:p>
            <w:pPr>
              <w:jc w:val="center"/>
              <w:keepLines w:val="0"/>
              <w:keepNext w:val="0"/>
              <w:pageBreakBefore w:val="0"/>
              <w:spacing w:line="240" w:lineRule="auto"/>
              <w:widowControl w:val="off"/>
              <w:rPr>
                <w:rFonts w:hint="default" w:ascii="宋体" w:hAnsi="宋体" w:cs="宋体"/>
                <w:sz w:val="24"/>
                <w:szCs w:val="24"/>
                <w:lang w:val="en-US" w:eastAsia="zh-CN"/>
              </w:rPr>
            </w:pPr>
            <w:r>
              <w:rPr>
                <w:rFonts w:hint="eastAsia" w:ascii="宋体" w:hAnsi="宋体" w:cs="宋体"/>
                <w:sz w:val="24"/>
                <w:szCs w:val="24"/>
                <w:lang w:val="en-US" w:eastAsia="zh-CN"/>
              </w:rPr>
              <w:t xml:space="preserve">2</w:t>
            </w:r>
            <w:r/>
          </w:p>
        </w:tc>
        <w:tc>
          <w:tcPr>
            <w:shd w:val="clear" w:color="auto" w:fill="auto"/>
            <w:tcW w:w="2470"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z w:val="24"/>
                <w:szCs w:val="24"/>
              </w:rPr>
              <w:t xml:space="preserve">A02010604 显示设备</w:t>
            </w:r>
            <w:r/>
          </w:p>
        </w:tc>
        <w:tc>
          <w:tcPr>
            <w:shd w:val="clear" w:color="auto" w:fill="auto"/>
            <w:tcW w:w="3114"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z w:val="24"/>
                <w:szCs w:val="24"/>
              </w:rPr>
              <w:t xml:space="preserve">A0201060401 液晶示器</w:t>
            </w:r>
            <w:r/>
          </w:p>
        </w:tc>
      </w:tr>
    </w:tbl>
    <w:p>
      <w:pPr>
        <w:jc w:val="left"/>
        <w:spacing w:line="360" w:lineRule="auto"/>
        <w:rPr>
          <w:rFonts w:hint="eastAsia" w:ascii="宋体" w:hAnsi="宋体" w:eastAsia="宋体" w:cs="宋体"/>
          <w:b/>
          <w:i/>
          <w:iCs/>
          <w:color w:val="ff0000"/>
          <w:sz w:val="24"/>
        </w:rPr>
      </w:pPr>
      <w:r>
        <w:rPr>
          <w:rFonts w:hint="eastAsia" w:ascii="宋体" w:hAnsi="宋体" w:eastAsia="宋体" w:cs="宋体"/>
          <w:b/>
          <w:i/>
          <w:iCs/>
          <w:color w:val="ff0000"/>
          <w:sz w:val="24"/>
        </w:rPr>
      </w:r>
      <w:r/>
    </w:p>
    <w:p>
      <w:pPr>
        <w:numPr>
          <w:ilvl w:val="0"/>
          <w:numId w:val="0"/>
        </w:numPr>
        <w:spacing w:line="400" w:lineRule="exact"/>
        <w:rPr>
          <w:rFonts w:hint="eastAsia" w:ascii="宋体" w:hAnsi="宋体" w:eastAsia="宋体" w:cs="宋体"/>
          <w:b/>
          <w:sz w:val="28"/>
          <w:szCs w:val="28"/>
        </w:rPr>
      </w:pPr>
      <w:r>
        <w:rPr>
          <w:rFonts w:hint="eastAsia" w:ascii="宋体" w:hAnsi="宋体" w:eastAsia="宋体" w:cs="宋体"/>
          <w:b/>
          <w:sz w:val="28"/>
          <w:szCs w:val="28"/>
          <w:lang w:val="en-US" w:eastAsia="zh-CN" w:bidi="ar-SA"/>
        </w:rPr>
        <w:t xml:space="preserve">五、</w:t>
      </w:r>
      <w:r>
        <w:rPr>
          <w:rFonts w:hint="eastAsia" w:ascii="宋体" w:hAnsi="宋体" w:eastAsia="宋体" w:cs="宋体"/>
          <w:b/>
          <w:sz w:val="28"/>
          <w:szCs w:val="28"/>
        </w:rPr>
        <w:t xml:space="preserve">商务要求：</w:t>
      </w:r>
      <w:r/>
    </w:p>
    <w:p>
      <w:pPr>
        <w:numPr>
          <w:ilvl w:val="0"/>
          <w:numId w:val="0"/>
        </w:numPr>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1.报价要求</w:t>
      </w:r>
      <w:r/>
    </w:p>
    <w:p>
      <w:pPr>
        <w:pStyle w:val="865"/>
        <w:ind w:firstLine="440"/>
        <w:spacing w:line="480" w:lineRule="exact"/>
        <w:rPr>
          <w:rStyle w:val="1056"/>
          <w:rFonts w:hint="eastAsia" w:ascii="宋体" w:hAnsi="宋体" w:eastAsia="宋体" w:cs="宋体"/>
        </w:rPr>
      </w:pPr>
      <w:r>
        <w:rPr>
          <w:rStyle w:val="1056"/>
          <w:rFonts w:hint="eastAsia" w:ascii="宋体" w:hAnsi="宋体" w:eastAsia="宋体" w:cs="宋体"/>
        </w:rPr>
        <w:t xml:space="preserve">供应商在投标报价时，应充分考虑施工过程中所需的全部辅材用量和安装调试，包括但不限于损耗、浪费及不可预见因素导致的额外需求，对采购人现有在用设备拆卸及搬运、新采购设备搬运及施工调试。成交后，合同费用为固定总价，施工过程中辅材不足的，由供应商自行承担，由此产生的工期延误、质量影响及额外费用由成交供应商自行承担。</w:t>
      </w:r>
      <w:r/>
    </w:p>
    <w:p>
      <w:pPr>
        <w:numPr>
          <w:ilvl w:val="0"/>
          <w:numId w:val="0"/>
        </w:numPr>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2.项目实施方案</w:t>
      </w:r>
      <w:r/>
    </w:p>
    <w:p>
      <w:pPr>
        <w:pStyle w:val="865"/>
        <w:ind w:firstLine="360"/>
        <w:spacing w:line="480" w:lineRule="exact"/>
        <w:rPr>
          <w:rFonts w:hint="eastAsia" w:ascii="宋体" w:hAnsi="宋体" w:eastAsia="宋体" w:cs="宋体"/>
        </w:rPr>
      </w:pPr>
      <w:r>
        <w:rPr>
          <w:rFonts w:hint="eastAsia" w:ascii="宋体" w:hAnsi="宋体" w:eastAsia="宋体" w:cs="宋体"/>
          <w:lang w:val="en-US" w:eastAsia="zh-CN"/>
        </w:rPr>
        <w:t xml:space="preserve">2.1</w:t>
      </w:r>
      <w:r>
        <w:rPr>
          <w:rFonts w:hint="eastAsia" w:ascii="宋体" w:hAnsi="宋体" w:eastAsia="宋体" w:cs="宋体"/>
        </w:rPr>
        <w:t xml:space="preserve">供应商在响应文件中详细描述实施方案，实施过程中的进度计划、组织架构、供货及安装、质量保证措施、调试及验收方案等。</w:t>
      </w:r>
      <w:r/>
    </w:p>
    <w:p>
      <w:pPr>
        <w:pStyle w:val="865"/>
        <w:ind w:firstLine="360"/>
        <w:spacing w:line="480" w:lineRule="exact"/>
        <w:rPr>
          <w:rFonts w:hint="eastAsia" w:ascii="宋体" w:hAnsi="宋体" w:eastAsia="宋体" w:cs="宋体"/>
        </w:rPr>
      </w:pPr>
      <w:r>
        <w:rPr>
          <w:rFonts w:hint="eastAsia" w:ascii="宋体" w:hAnsi="宋体" w:eastAsia="宋体" w:cs="宋体"/>
          <w:lang w:val="en-US" w:eastAsia="zh-CN"/>
        </w:rPr>
        <w:t xml:space="preserve">2.2</w:t>
      </w:r>
      <w:r>
        <w:rPr>
          <w:rFonts w:hint="eastAsia" w:ascii="宋体" w:hAnsi="宋体" w:eastAsia="宋体" w:cs="宋体"/>
        </w:rPr>
        <w:t xml:space="preserve">成交供应商应制定合理的项目安装施工进度计划，并严格按计划执行，保证项目在规定的时间内完成。</w:t>
      </w:r>
      <w:r/>
    </w:p>
    <w:p>
      <w:pPr>
        <w:pStyle w:val="865"/>
        <w:ind w:firstLine="360"/>
        <w:spacing w:line="480" w:lineRule="exact"/>
        <w:rPr>
          <w:rFonts w:hint="eastAsia" w:ascii="宋体" w:hAnsi="宋体" w:eastAsia="宋体" w:cs="宋体"/>
        </w:rPr>
      </w:pPr>
      <w:r>
        <w:rPr>
          <w:rFonts w:hint="eastAsia" w:ascii="宋体" w:hAnsi="宋体" w:eastAsia="宋体" w:cs="宋体"/>
          <w:lang w:val="en-US" w:eastAsia="zh-CN"/>
        </w:rPr>
        <w:t xml:space="preserve">2.3</w:t>
      </w:r>
      <w:r>
        <w:rPr>
          <w:rFonts w:hint="eastAsia" w:ascii="宋体" w:hAnsi="宋体" w:eastAsia="宋体" w:cs="宋体"/>
        </w:rPr>
        <w:t xml:space="preserve">项目团队需列明职责分工，负责对参与项目实施的各方技术人员进行产品、技术培训，提供项目整体实施和试点工作的技术方案，对项目实施过程中出现的疑难问题提供技术支持。项目团队人员未经采购人同意，成交供应商不得调换和撤离，并按项目进度及时安排到位。采购人有权要求成交供应商撤换工作不负责任、管理不力、贻误工期和造成严重的安全事故和工程质量事故、违法乱纪的专业技术、管理人员直至技术负责人，直至采购人满意为止。</w:t>
      </w:r>
      <w:r/>
    </w:p>
    <w:p>
      <w:pPr>
        <w:pStyle w:val="865"/>
        <w:ind w:firstLine="360"/>
        <w:spacing w:line="480" w:lineRule="exact"/>
        <w:rPr>
          <w:rFonts w:hint="eastAsia" w:ascii="宋体" w:hAnsi="宋体" w:eastAsia="宋体" w:cs="宋体"/>
        </w:rPr>
      </w:pPr>
      <w:r>
        <w:rPr>
          <w:rFonts w:hint="eastAsia" w:ascii="宋体" w:hAnsi="宋体" w:eastAsia="宋体" w:cs="宋体"/>
          <w:lang w:val="en-US" w:eastAsia="zh-CN"/>
        </w:rPr>
        <w:t xml:space="preserve">2.4</w:t>
      </w:r>
      <w:r>
        <w:rPr>
          <w:rFonts w:hint="eastAsia" w:ascii="宋体" w:hAnsi="宋体" w:eastAsia="宋体" w:cs="宋体"/>
        </w:rPr>
        <w:t xml:space="preserve">所有安装材料质量及施工质量必须严格按照国家规范及江苏省、宿迁市相应地方规范、磋商文件、材料厂家的技术规范的有关要求执行；并提供详细的实施质量保证方案。</w:t>
      </w:r>
      <w:r/>
    </w:p>
    <w:p>
      <w:pPr>
        <w:pStyle w:val="865"/>
        <w:ind w:firstLine="360"/>
        <w:spacing w:line="480" w:lineRule="exact"/>
        <w:rPr>
          <w:rFonts w:hint="eastAsia" w:ascii="宋体" w:hAnsi="宋体" w:eastAsia="宋体" w:cs="宋体"/>
        </w:rPr>
      </w:pPr>
      <w:r>
        <w:rPr>
          <w:rFonts w:hint="eastAsia" w:ascii="宋体" w:hAnsi="宋体" w:eastAsia="宋体" w:cs="宋体"/>
          <w:lang w:val="en-US" w:eastAsia="zh-CN"/>
        </w:rPr>
        <w:t xml:space="preserve">2.5</w:t>
      </w:r>
      <w:r>
        <w:rPr>
          <w:rFonts w:hint="eastAsia" w:ascii="宋体" w:hAnsi="宋体" w:eastAsia="宋体" w:cs="宋体"/>
        </w:rPr>
        <w:t xml:space="preserve">成交供应商应对安装施工安全、质量全面负责，如因成交供应商原因造成质量、安全事故，由其承担一切经济法律责任。成交供应商应配备专业的技术人员实施项目。</w:t>
      </w:r>
      <w:r/>
    </w:p>
    <w:p>
      <w:pPr>
        <w:pStyle w:val="865"/>
        <w:ind w:firstLine="360"/>
        <w:spacing w:line="480" w:lineRule="exact"/>
        <w:rPr>
          <w:rFonts w:hint="eastAsia" w:ascii="宋体" w:hAnsi="宋体" w:eastAsia="宋体" w:cs="宋体"/>
        </w:rPr>
      </w:pPr>
      <w:r>
        <w:rPr>
          <w:rFonts w:hint="eastAsia" w:ascii="宋体" w:hAnsi="宋体" w:eastAsia="宋体" w:cs="宋体"/>
          <w:lang w:val="en-US" w:eastAsia="zh-CN"/>
        </w:rPr>
        <w:t xml:space="preserve">2.6</w:t>
      </w:r>
      <w:r>
        <w:rPr>
          <w:rFonts w:hint="eastAsia" w:ascii="宋体" w:hAnsi="宋体" w:eastAsia="宋体" w:cs="宋体"/>
        </w:rPr>
        <w:t xml:space="preserve">施工期间，成交供应商应无条件</w:t>
      </w:r>
      <w:r>
        <w:rPr>
          <w:rFonts w:hint="eastAsia" w:ascii="宋体" w:hAnsi="宋体" w:eastAsia="宋体" w:cs="宋体"/>
          <w:lang w:eastAsia="zh-CN"/>
        </w:rPr>
        <w:t xml:space="preserve">地</w:t>
      </w:r>
      <w:r>
        <w:rPr>
          <w:rFonts w:hint="eastAsia" w:ascii="宋体" w:hAnsi="宋体" w:eastAsia="宋体" w:cs="宋体"/>
        </w:rPr>
        <w:t xml:space="preserve">接受采购方的质量监督，提出的质量问题要及时整改，整改完毕后通知采购方检查验收，合格后书面报送采购单位备案。</w:t>
      </w:r>
      <w:r/>
    </w:p>
    <w:p>
      <w:pPr>
        <w:pStyle w:val="865"/>
        <w:spacing w:line="480" w:lineRule="exact"/>
        <w:rPr>
          <w:rFonts w:hint="eastAsia" w:ascii="宋体" w:hAnsi="宋体" w:eastAsia="宋体" w:cs="宋体"/>
          <w:b/>
          <w:sz w:val="24"/>
          <w:szCs w:val="24"/>
          <w:lang w:val="en-US" w:eastAsia="zh-CN"/>
        </w:rPr>
      </w:pPr>
      <w:r>
        <w:rPr>
          <w:rFonts w:hint="eastAsia" w:ascii="宋体" w:hAnsi="宋体" w:eastAsia="宋体" w:cs="宋体"/>
          <w:lang w:val="en-US" w:eastAsia="zh-CN"/>
        </w:rPr>
        <w:t xml:space="preserve">2.7</w:t>
      </w:r>
      <w:r>
        <w:rPr>
          <w:rFonts w:hint="eastAsia" w:ascii="宋体" w:hAnsi="宋体" w:eastAsia="宋体" w:cs="宋体"/>
        </w:rPr>
        <w:t xml:space="preserve">成交供应商应建立健全质量检查制度，严格工序管理，本着谁施工谁负责产品保护，谁破坏产品谁负责赔偿的原则，成交供应商必须采取切实有效的产品保护措施，并编制相应的产品保护方案报采购单位批准同意后组织实施。</w:t>
      </w:r>
      <w:r/>
    </w:p>
    <w:p>
      <w:pPr>
        <w:numPr>
          <w:ilvl w:val="0"/>
          <w:numId w:val="0"/>
        </w:numPr>
        <w:spacing w:line="4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3、培训要求</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每年提供至少一次系统的培训，包含对各类投保设备的理论知识培训以及现场实际操作培训。工程师在现场向采购人介绍产品结构、调试步骤、使用操作、日常维护等，使用户掌握正确的正常操作程序和处理紧急情况的能力。</w:t>
      </w:r>
      <w:r/>
    </w:p>
    <w:p>
      <w:pPr>
        <w:ind w:firstLine="480"/>
        <w:jc w:val="left"/>
        <w:spacing w:line="480" w:lineRule="exact"/>
        <w:tabs>
          <w:tab w:val="left" w:pos="1695"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2.培训费用均包含在本次报价中。</w:t>
      </w:r>
      <w:r/>
    </w:p>
    <w:p>
      <w:pPr>
        <w:numPr>
          <w:ilvl w:val="0"/>
          <w:numId w:val="0"/>
        </w:numPr>
        <w:spacing w:line="40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4、</w:t>
      </w:r>
      <w:r>
        <w:rPr>
          <w:rFonts w:hint="eastAsia" w:ascii="宋体" w:hAnsi="宋体" w:cs="宋体"/>
          <w:b/>
          <w:sz w:val="24"/>
          <w:szCs w:val="24"/>
          <w:lang w:val="en-US" w:eastAsia="zh-CN"/>
        </w:rPr>
        <w:t xml:space="preserve">售后服务方案</w:t>
      </w:r>
      <w:r/>
    </w:p>
    <w:p>
      <w:pPr>
        <w:ind w:firstLine="480"/>
        <w:jc w:val="left"/>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1.售后服务期内，成交供应商对产品质量实行三包，因设备配置或制造质量问题而引起的故障，成交供应商应在24小时内立即予以维修或更换，由此引起的一切费用由成交供应商承担。</w:t>
      </w:r>
      <w:r/>
    </w:p>
    <w:p>
      <w:pPr>
        <w:ind w:firstLine="480"/>
        <w:jc w:val="left"/>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2.技术支持响应时间。一般问题10分钟内电话支持，难点、重点问题2小时内现场解决，相关费用由成交供应商承担，售后服务期满后成交供应商收取成本费。</w:t>
      </w:r>
      <w:r/>
    </w:p>
    <w:p>
      <w:pPr>
        <w:ind w:firstLine="480"/>
        <w:jc w:val="left"/>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3.成交供应商在维保行为与维保工程结束时需经过采购人确认。</w:t>
      </w:r>
      <w:r/>
    </w:p>
    <w:p>
      <w:pPr>
        <w:ind w:firstLine="480"/>
        <w:jc w:val="left"/>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4.如成交供应商在接到采购方多次通知和催促后仍未能及时前来检测维护，或两次以上未能修复的，采购人有权请第三方介入检测维护，由此引起的费用由成交供应商支付。</w:t>
      </w:r>
      <w:r/>
    </w:p>
    <w:p>
      <w:pPr>
        <w:ind w:firstLine="480"/>
        <w:jc w:val="left"/>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5.成交供应商在施工过程中对施工现场的材料、工具及成品做好保护工作，并保证工作区域的整洁。</w:t>
      </w:r>
      <w:r/>
    </w:p>
    <w:p>
      <w:pPr>
        <w:jc w:val="left"/>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、商品包装环保要求</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1.商品包装层数不得超过3层，空隙率不大于40%； </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w:t>
      </w:r>
      <w:r>
        <w:rPr>
          <w:rFonts w:hint="eastAsia" w:ascii="宋体" w:hAnsi="宋体" w:cs="宋体"/>
          <w:sz w:val="24"/>
          <w:szCs w:val="24"/>
          <w:lang w:eastAsia="zh-CN"/>
        </w:rPr>
        <w:t xml:space="preserve">必须</w:t>
      </w:r>
      <w:r>
        <w:rPr>
          <w:rFonts w:hint="eastAsia" w:ascii="宋体" w:hAnsi="宋体" w:eastAsia="宋体" w:cs="宋体"/>
          <w:sz w:val="24"/>
          <w:szCs w:val="24"/>
        </w:rPr>
        <w:t xml:space="preserve">使用不同材质，不同材质间应便于分离； </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 </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VOCs</w:t>
      </w:r>
      <w:r>
        <w:rPr>
          <w:rFonts w:hint="eastAsia" w:ascii="宋体" w:hAnsi="宋体" w:cs="宋体"/>
          <w:sz w:val="24"/>
          <w:szCs w:val="24"/>
          <w:lang w:eastAsia="zh-CN"/>
        </w:rPr>
        <w:t xml:space="preserve">）</w:t>
      </w:r>
      <w:r>
        <w:rPr>
          <w:rFonts w:hint="eastAsia" w:ascii="宋体" w:hAnsi="宋体" w:eastAsia="宋体" w:cs="宋体"/>
          <w:sz w:val="24"/>
          <w:szCs w:val="24"/>
        </w:rPr>
        <w:t xml:space="preserve"> 含量应不大于 5%（以重量计）； </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5.塑料材质商品包装上呈现的印刷颜色不得超过6色； </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 </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10004-2008《包装用塑料复合膜、袋干法复合、挤出复合》规定的方法进行。2.商品包装印刷使用的油墨中挥发性有机化合物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VOCs</w:t>
      </w:r>
      <w:r>
        <w:rPr>
          <w:rFonts w:hint="eastAsia" w:ascii="宋体" w:hAnsi="宋体" w:cs="宋体"/>
          <w:sz w:val="24"/>
          <w:szCs w:val="24"/>
          <w:lang w:eastAsia="zh-CN"/>
        </w:rPr>
        <w:t xml:space="preserve">）</w:t>
      </w:r>
      <w:r>
        <w:rPr>
          <w:rFonts w:hint="eastAsia" w:ascii="宋体" w:hAnsi="宋体" w:eastAsia="宋体" w:cs="宋体"/>
          <w:sz w:val="24"/>
          <w:szCs w:val="24"/>
        </w:rPr>
        <w:t xml:space="preserve"> 的检测按照 GB/T 23986-2009《色漆和清漆挥发性有机化合物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w:t>
      </w:r>
      <w:r>
        <w:rPr>
          <w:rFonts w:hint="eastAsia" w:ascii="宋体" w:hAnsi="宋体" w:cs="宋体"/>
          <w:sz w:val="24"/>
          <w:szCs w:val="24"/>
          <w:lang w:eastAsia="zh-CN"/>
        </w:rPr>
        <w:t xml:space="preserve">）</w:t>
      </w:r>
      <w:r>
        <w:rPr>
          <w:rFonts w:hint="eastAsia" w:ascii="宋体" w:hAnsi="宋体" w:eastAsia="宋体" w:cs="宋体"/>
          <w:sz w:val="24"/>
          <w:szCs w:val="24"/>
        </w:rPr>
        <w:t xml:space="preserve">含量的测定气相色谱法》规定的方法。</w:t>
      </w:r>
      <w:r/>
    </w:p>
    <w:p>
      <w:pPr>
        <w:jc w:val="left"/>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七</w:t>
      </w:r>
      <w:r>
        <w:rPr>
          <w:rFonts w:hint="eastAsia" w:ascii="宋体" w:hAnsi="宋体" w:eastAsia="宋体" w:cs="宋体"/>
          <w:b/>
          <w:bCs/>
          <w:sz w:val="28"/>
          <w:szCs w:val="28"/>
        </w:rPr>
        <w:t xml:space="preserve">、快递包装环保要求</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1.快递包装中重金属（铅、汞、镉、六价铬）总量应不大于100mg/kg；</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w:t>
      </w:r>
      <w:r>
        <w:rPr>
          <w:rFonts w:hint="eastAsia" w:ascii="宋体" w:hAnsi="宋体" w:cs="宋体"/>
          <w:sz w:val="24"/>
          <w:szCs w:val="24"/>
          <w:lang w:eastAsia="zh-CN"/>
        </w:rPr>
        <w:t xml:space="preserve">（</w:t>
      </w:r>
      <w:r>
        <w:rPr>
          <w:rFonts w:hint="eastAsia" w:ascii="宋体" w:hAnsi="宋体" w:eastAsia="宋体" w:cs="宋体"/>
          <w:sz w:val="24"/>
          <w:szCs w:val="24"/>
        </w:rPr>
        <w:t xml:space="preserve">VOCs</w:t>
      </w:r>
      <w:r>
        <w:rPr>
          <w:rFonts w:hint="eastAsia" w:ascii="宋体" w:hAnsi="宋体" w:cs="宋体"/>
          <w:sz w:val="24"/>
          <w:szCs w:val="24"/>
          <w:lang w:eastAsia="zh-CN"/>
        </w:rPr>
        <w:t xml:space="preserve">）</w:t>
      </w:r>
      <w:r>
        <w:rPr>
          <w:rFonts w:hint="eastAsia" w:ascii="宋体" w:hAnsi="宋体" w:eastAsia="宋体" w:cs="宋体"/>
          <w:sz w:val="24"/>
          <w:szCs w:val="24"/>
        </w:rPr>
        <w:t xml:space="preserve">含量应不大于5%（以重量计）；</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3.快递包装中使用纸基材的包装材料，纸基材中的有机氯的含量应不大于150 mg/kg；</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w:t>
      </w:r>
      <w:r>
        <w:rPr>
          <w:rFonts w:hint="eastAsia" w:ascii="宋体" w:hAnsi="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乙基</w:t>
      </w:r>
      <w:r>
        <w:rPr>
          <w:rFonts w:hint="eastAsia" w:ascii="宋体" w:hAnsi="宋体" w:cs="宋体"/>
          <w:sz w:val="24"/>
          <w:szCs w:val="24"/>
          <w:lang w:eastAsia="zh-CN"/>
        </w:rPr>
        <w:t xml:space="preserve">）</w:t>
      </w:r>
      <w:r>
        <w:rPr>
          <w:rFonts w:hint="eastAsia" w:ascii="宋体" w:hAnsi="宋体" w:eastAsia="宋体" w:cs="宋体"/>
          <w:sz w:val="24"/>
          <w:szCs w:val="24"/>
        </w:rPr>
        <w:t xml:space="preserve">己酯、邻苯二甲酸二异癸酯、邻苯二甲酸丁基苄基酯、邻苯二甲酸二丁酯等作为增塑剂；</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7.快递中使用的集装袋应为单一材质制成，其重复使用次数应不小于80次；</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w:t>
      </w:r>
      <w:r>
        <w:rPr>
          <w:rFonts w:hint="eastAsia" w:ascii="宋体" w:hAnsi="宋体" w:cs="宋体"/>
          <w:sz w:val="24"/>
          <w:szCs w:val="24"/>
          <w:lang w:eastAsia="zh-CN"/>
        </w:rPr>
        <w:t xml:space="preserve">胶黏剂</w:t>
      </w:r>
      <w:r>
        <w:rPr>
          <w:rFonts w:hint="eastAsia" w:ascii="宋体" w:hAnsi="宋体" w:eastAsia="宋体" w:cs="宋体"/>
          <w:sz w:val="24"/>
          <w:szCs w:val="24"/>
        </w:rPr>
        <w:t xml:space="preserve">；</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12.快递包装产品质量和封装方式应符合相关国家或行业标准技术指标要求。</w:t>
      </w:r>
      <w:bookmarkEnd w:id="101"/>
      <w:r/>
      <w:r/>
    </w:p>
    <w:p>
      <w:pPr>
        <w:rPr>
          <w:rFonts w:hint="eastAsia" w:ascii="宋体" w:hAnsi="宋体" w:eastAsia="宋体" w:cs="宋体"/>
          <w:b/>
          <w:sz w:val="44"/>
          <w:szCs w:val="44"/>
        </w:rPr>
      </w:pPr>
      <w:r/>
      <w:bookmarkStart w:id="111" w:name="_Toc22098"/>
      <w:r/>
      <w:bookmarkStart w:id="112" w:name="_Toc19774"/>
      <w:r/>
      <w:bookmarkStart w:id="113" w:name="_Toc81575169"/>
      <w:r/>
      <w:bookmarkStart w:id="114" w:name="_Toc81575206"/>
      <w:r/>
      <w:bookmarkStart w:id="115" w:name="_Toc31499"/>
      <w:r/>
      <w:bookmarkStart w:id="116" w:name="_Toc22631"/>
      <w:r/>
      <w:bookmarkStart w:id="117" w:name="_Toc7955"/>
      <w:r>
        <w:rPr>
          <w:rFonts w:hint="eastAsia" w:ascii="宋体" w:hAnsi="宋体" w:eastAsia="宋体" w:cs="宋体"/>
          <w:b/>
          <w:sz w:val="44"/>
          <w:szCs w:val="44"/>
        </w:rPr>
        <w:br w:type="page" w:clear="all"/>
      </w:r>
      <w:r/>
    </w:p>
    <w:p>
      <w:pPr>
        <w:pStyle w:val="797"/>
        <w:jc w:val="center"/>
        <w:spacing w:before="200"/>
        <w:rPr>
          <w:rFonts w:hint="eastAsia" w:ascii="宋体" w:hAnsi="宋体" w:eastAsia="宋体" w:cs="宋体"/>
          <w:b/>
          <w:sz w:val="44"/>
          <w:szCs w:val="44"/>
        </w:rPr>
      </w:pPr>
      <w:r>
        <w:rPr>
          <w:rFonts w:hint="eastAsia" w:ascii="宋体" w:hAnsi="宋体" w:eastAsia="宋体" w:cs="宋体"/>
          <w:b/>
          <w:sz w:val="44"/>
          <w:szCs w:val="44"/>
        </w:rPr>
        <w:t xml:space="preserve">第五章  合同文本</w:t>
      </w:r>
      <w:bookmarkEnd w:id="111"/>
      <w:r/>
      <w:bookmarkEnd w:id="112"/>
      <w:r/>
      <w:bookmarkEnd w:id="113"/>
      <w:r/>
      <w:bookmarkEnd w:id="114"/>
      <w:r/>
      <w:bookmarkEnd w:id="115"/>
      <w:r/>
      <w:bookmarkStart w:id="118" w:name="_Toc20823315"/>
      <w:r/>
      <w:bookmarkEnd w:id="118"/>
      <w:r/>
      <w:bookmarkStart w:id="119" w:name="_Toc16938559"/>
      <w:r/>
      <w:bookmarkEnd w:id="119"/>
      <w:r/>
      <w:bookmarkStart w:id="120" w:name="_Toc513029243"/>
      <w:r/>
      <w:bookmarkEnd w:id="120"/>
      <w:r/>
      <w:r/>
    </w:p>
    <w:p>
      <w:pPr>
        <w:rPr>
          <w:rFonts w:hint="eastAsia" w:ascii="宋体" w:hAnsi="宋体" w:eastAsia="宋体" w:cs="宋体"/>
          <w:b/>
          <w:sz w:val="44"/>
          <w:szCs w:val="44"/>
        </w:rPr>
      </w:pPr>
      <w:r>
        <w:rPr>
          <w:rFonts w:hint="eastAsia" w:ascii="宋体" w:hAnsi="宋体" w:eastAsia="宋体" w:cs="宋体"/>
          <w:b/>
          <w:sz w:val="44"/>
          <w:szCs w:val="44"/>
        </w:rPr>
      </w:r>
      <w:r/>
    </w:p>
    <w:p>
      <w:pPr>
        <w:rPr>
          <w:rFonts w:hint="eastAsia" w:ascii="宋体" w:hAnsi="宋体" w:eastAsia="宋体" w:cs="宋体"/>
          <w:b/>
          <w:sz w:val="44"/>
          <w:szCs w:val="44"/>
        </w:rPr>
      </w:pPr>
      <w:r>
        <w:rPr>
          <w:rFonts w:hint="eastAsia" w:ascii="宋体" w:hAnsi="宋体" w:eastAsia="宋体" w:cs="宋体"/>
          <w:b/>
          <w:sz w:val="44"/>
          <w:szCs w:val="44"/>
        </w:rPr>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合同编号：</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甲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乙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签订时间：</w:t>
      </w:r>
      <w:r>
        <w:rPr>
          <w:rFonts w:hint="eastAsia" w:ascii="宋体" w:hAnsi="宋体" w:eastAsia="宋体" w:cs="宋体"/>
          <w:sz w:val="28"/>
          <w:szCs w:val="28"/>
          <w:u w:val="single"/>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rPr>
          <w:rFonts w:hint="eastAsia" w:ascii="宋体" w:hAnsi="宋体" w:eastAsia="宋体" w:cs="宋体"/>
          <w:sz w:val="32"/>
          <w:szCs w:val="32"/>
        </w:rPr>
      </w:pPr>
      <w:r>
        <w:rPr>
          <w:rFonts w:hint="eastAsia" w:ascii="宋体" w:hAnsi="宋体" w:eastAsia="宋体" w:cs="宋体"/>
          <w:sz w:val="32"/>
          <w:szCs w:val="32"/>
        </w:rPr>
        <w:t xml:space="preserve">使 用 说 明</w:t>
      </w:r>
      <w:r/>
    </w:p>
    <w:p>
      <w:pPr>
        <w:ind w:firstLine="640"/>
        <w:rPr>
          <w:rFonts w:hint="eastAsia" w:ascii="宋体" w:hAnsi="宋体" w:eastAsia="宋体" w:cs="宋体"/>
          <w:sz w:val="32"/>
          <w:szCs w:val="32"/>
        </w:rPr>
      </w:pPr>
      <w:r>
        <w:rPr>
          <w:rFonts w:hint="eastAsia" w:ascii="宋体" w:hAnsi="宋体" w:eastAsia="宋体" w:cs="宋体"/>
          <w:sz w:val="32"/>
          <w:szCs w:val="32"/>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1.本合同标准文本适用于购买现成货物的采购项目，不包括需要供应商定制开发、创新研发的货物采购项目。</w:t>
      </w:r>
      <w:r/>
    </w:p>
    <w:p>
      <w:pPr>
        <w:rPr>
          <w:rFonts w:hint="eastAsia" w:ascii="宋体" w:hAnsi="宋体" w:eastAsia="宋体" w:cs="宋体"/>
          <w:sz w:val="28"/>
          <w:szCs w:val="28"/>
        </w:rPr>
      </w:pPr>
      <w:r>
        <w:rPr>
          <w:rFonts w:hint="eastAsia" w:ascii="宋体" w:hAnsi="宋体" w:eastAsia="宋体" w:cs="宋体"/>
          <w:sz w:val="28"/>
          <w:szCs w:val="28"/>
        </w:rPr>
        <w:t xml:space="preserve">    2.本合同标准文本为政府采购货物买卖合同编制提供参考，可以结合采购项目具体情况，对文本作必要的调整修订后使用。</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3.本合同标准文本各条款中，如涉及填写多家供应商、制造商，多种采购标的、分包主要内容等信息的，可根据采购项目具体情况添加信息项。</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t xml:space="preserve">第一节 政府采购合同协议书</w:t>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（采购人、受采购人委托签订合同的单位或采购文件约定的合同甲方）</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乙方1（全称）：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乙方2（全称）：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乙方3（全称）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（联合体成员供应商或其他合同主体）（如有）</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采购文件（征集文件）、乙方的《投标（响应）文件》及《成交通知书》，甲乙双方同意签订本合同。具体情况及要求如下：     </w:t>
      </w:r>
      <w:r/>
    </w:p>
    <w:p>
      <w:pPr>
        <w:numPr>
          <w:ilvl w:val="0"/>
          <w:numId w:val="7"/>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numPr>
          <w:ilvl w:val="0"/>
          <w:numId w:val="8"/>
        </w:numPr>
        <w:ind w:firstLine="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p>
    <w:p>
      <w:pPr>
        <w:spacing w:line="400" w:lineRule="exact"/>
        <w:tabs>
          <w:tab w:val="left" w:pos="999" w:leader="none"/>
        </w:tabs>
        <w:rPr>
          <w:rFonts w:hint="eastAsia" w:ascii="宋体" w:hAnsi="宋体" w:eastAsia="宋体" w:cs="宋体"/>
          <w:sz w:val="24"/>
          <w:szCs w:val="24"/>
        </w:rPr>
      </w:pPr>
      <w:r>
        <w:rPr>
          <w:rFonts w:hint="eastAsia" w:ascii="宋体" w:hAnsi="宋体" w:eastAsia="宋体" w:cs="宋体"/>
          <w:sz w:val="24"/>
          <w:szCs w:val="24"/>
        </w:rPr>
        <w:t xml:space="preserve">         采购项目编号：</w:t>
      </w:r>
      <w:r>
        <w:rPr>
          <w:rFonts w:hint="eastAsia" w:ascii="宋体" w:hAnsi="宋体" w:eastAsia="宋体" w:cs="宋体"/>
          <w:sz w:val="24"/>
          <w:szCs w:val="24"/>
          <w:u w:val="single"/>
        </w:rPr>
        <w:t xml:space="preserve">                                          </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     采购标的及数量（台/套</w:t>
      </w:r>
      <w:r>
        <w:rPr>
          <w:rFonts w:hint="eastAsia" w:ascii="宋体" w:hAnsi="宋体" w:eastAsia="宋体" w:cs="宋体"/>
          <w:sz w:val="24"/>
          <w:szCs w:val="24"/>
          <w:lang w:val="en"/>
        </w:rPr>
        <w:t xml:space="preserve">/个/架/组等</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spacing w:line="400" w:lineRule="exact"/>
        <w:rPr>
          <w:rFonts w:hint="eastAsia" w:ascii="宋体" w:hAnsi="宋体" w:eastAsia="宋体" w:cs="宋体"/>
          <w:sz w:val="24"/>
          <w:szCs w:val="24"/>
          <w:lang w:val="en"/>
        </w:rPr>
      </w:pP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lang w:val="en"/>
        </w:rPr>
        <w:t xml:space="preserve">     </w:t>
      </w:r>
      <w:r>
        <w:rPr>
          <w:rFonts w:hint="eastAsia" w:ascii="宋体" w:hAnsi="宋体" w:eastAsia="宋体" w:cs="宋体"/>
          <w:sz w:val="24"/>
          <w:szCs w:val="24"/>
        </w:rPr>
        <w:t xml:space="preserve">规格型号：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p>
    <w:p>
      <w:pPr>
        <w:ind w:firstLine="945"/>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采购标的的技术要求、商务要求具体见附件。</w:t>
      </w:r>
      <w:r/>
    </w:p>
    <w:p>
      <w:pPr>
        <w:ind w:firstLine="945"/>
        <w:spacing w:line="400" w:lineRule="exact"/>
        <w:rPr>
          <w:rFonts w:hint="eastAsia" w:ascii="宋体" w:hAnsi="宋体" w:eastAsia="宋体" w:cs="宋体"/>
          <w:sz w:val="24"/>
          <w:szCs w:val="24"/>
        </w:rPr>
      </w:pPr>
      <w:r>
        <w:rPr>
          <w:rFonts w:hint="eastAsia" w:ascii="宋体" w:hAnsi="宋体" w:eastAsia="宋体" w:cs="宋体"/>
          <w:sz w:val="24"/>
          <w:szCs w:val="24"/>
        </w:rPr>
        <w:t xml:space="preserve">①涉及信息类产品，请填写该产品关键部件的品牌、型号：</w:t>
      </w:r>
      <w:r/>
    </w:p>
    <w:p>
      <w:pPr>
        <w:ind w:firstLine="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标的名称：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
        </w:rPr>
        <w:t xml:space="preserve">               </w:t>
      </w:r>
      <w:r>
        <w:rPr>
          <w:rFonts w:hint="eastAsia" w:ascii="宋体" w:hAnsi="宋体" w:eastAsia="宋体" w:cs="宋体"/>
          <w:sz w:val="24"/>
          <w:szCs w:val="24"/>
          <w:u w:val="single"/>
        </w:rPr>
        <w:t xml:space="preserve">    </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②涉及车辆采购，请填写是否属于新能源汽车：</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¨否</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
        </w:rPr>
        <w:t xml:space="preserve">4</w:t>
      </w:r>
      <w:r>
        <w:rPr>
          <w:rFonts w:hint="eastAsia" w:ascii="宋体" w:hAnsi="宋体" w:eastAsia="宋体" w:cs="宋体"/>
          <w:sz w:val="24"/>
          <w:szCs w:val="24"/>
        </w:rPr>
        <w:t xml:space="preserve">）政府采购组织形式：¨政府集中采购  ¨部门集中采购  ¨分散采购</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5</w:t>
      </w:r>
      <w:r>
        <w:rPr>
          <w:rFonts w:hint="eastAsia" w:ascii="宋体" w:hAnsi="宋体" w:eastAsia="宋体" w:cs="宋体"/>
          <w:sz w:val="24"/>
          <w:szCs w:val="24"/>
        </w:rPr>
        <w:t xml:space="preserve">）政府采购方式：¨公开招标 ¨邀请招标 ¨竞争性谈判 ¨竞争性磋商</w:t>
      </w:r>
      <w:r/>
    </w:p>
    <w:p>
      <w:pPr>
        <w:ind w:firstLine="420"/>
        <w:jc w:val="left"/>
        <w:spacing w:line="400" w:lineRule="exact"/>
        <w:widowControl/>
        <w:rPr>
          <w:rFonts w:hint="eastAsia" w:ascii="宋体" w:hAnsi="宋体" w:eastAsia="宋体" w:cs="宋体"/>
          <w:sz w:val="24"/>
          <w:szCs w:val="24"/>
          <w:u w:val="single"/>
        </w:rPr>
      </w:pPr>
      <w:r>
        <w:rPr>
          <w:rFonts w:hint="eastAsia" w:ascii="宋体" w:hAnsi="宋体" w:eastAsia="宋体" w:cs="宋体"/>
          <w:sz w:val="24"/>
          <w:szCs w:val="24"/>
        </w:rPr>
        <w:t xml:space="preserve">                  ¨询价 ¨单一来源 ¨框架协议 ¨其他：</w:t>
      </w:r>
      <w:r>
        <w:rPr>
          <w:rFonts w:hint="eastAsia" w:ascii="宋体" w:hAnsi="宋体" w:eastAsia="宋体" w:cs="宋体"/>
          <w:sz w:val="24"/>
          <w:szCs w:val="24"/>
          <w:u w:val="single"/>
        </w:rPr>
        <w:t xml:space="preserve">          </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（注：在框架协议采购的第二阶段，可选择使用该合同文本）</w:t>
      </w:r>
      <w:r/>
    </w:p>
    <w:p>
      <w:pPr>
        <w:ind w:firstLine="2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（6）成交采购标的制造商是否为中小企业：¨是      ¨否</w:t>
      </w:r>
      <w:r/>
    </w:p>
    <w:p>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本合同是否为专门面向中小企业的采购合同（中小企业预留合同）：</w:t>
      </w:r>
      <w:r>
        <w:rPr>
          <w:rFonts w:hint="eastAsia" w:ascii="宋体" w:hAnsi="宋体" w:eastAsia="宋体" w:cs="宋体"/>
          <w:iCs/>
          <w:sz w:val="24"/>
          <w:szCs w:val="24"/>
        </w:rPr>
        <w:t xml:space="preserve">¨是    ¨否</w:t>
      </w:r>
      <w:r/>
    </w:p>
    <w:p>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若本项目不专门面向中小企业采购，是否给予小微企业评审优惠：</w:t>
      </w:r>
      <w:r>
        <w:rPr>
          <w:rFonts w:hint="eastAsia" w:ascii="宋体" w:hAnsi="宋体" w:eastAsia="宋体" w:cs="宋体"/>
          <w:iCs/>
          <w:sz w:val="24"/>
          <w:szCs w:val="24"/>
        </w:rPr>
        <w:t xml:space="preserve">¨是   ¨否</w:t>
      </w:r>
      <w:r/>
    </w:p>
    <w:p>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成交采购标的制造商是否为残疾人福利性单位：¨是   ¨否</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成交采购标的制造商是否为监狱企业：¨是       ¨否</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7</w:t>
      </w:r>
      <w:r>
        <w:rPr>
          <w:rFonts w:hint="eastAsia" w:ascii="宋体" w:hAnsi="宋体" w:eastAsia="宋体" w:cs="宋体"/>
          <w:sz w:val="24"/>
          <w:szCs w:val="24"/>
        </w:rPr>
        <w:t xml:space="preserve">）合同是否分包：</w:t>
      </w:r>
      <w:r>
        <w:rPr>
          <w:rFonts w:hint="eastAsia" w:ascii="宋体" w:hAnsi="宋体" w:eastAsia="宋体" w:cs="宋体"/>
          <w:iCs/>
          <w:sz w:val="24"/>
          <w:szCs w:val="24"/>
        </w:rPr>
        <w:t xml:space="preserve">¨是       ¨否</w:t>
      </w:r>
      <w:r/>
    </w:p>
    <w:p>
      <w:pPr>
        <w:ind w:firstLine="84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分包主要内容：</w:t>
      </w:r>
      <w:r>
        <w:rPr>
          <w:rFonts w:hint="eastAsia" w:ascii="宋体" w:hAnsi="宋体" w:eastAsia="宋体" w:cs="宋体"/>
          <w:sz w:val="24"/>
          <w:szCs w:val="24"/>
          <w:u w:val="single"/>
        </w:rPr>
        <w:t xml:space="preserve">                                            </w:t>
      </w:r>
      <w:r/>
    </w:p>
    <w:p>
      <w:pPr>
        <w:ind w:firstLine="8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分包供应商/制造商名称（如供应商和制造商不同，请分别填写）：</w:t>
      </w:r>
      <w:r/>
    </w:p>
    <w:p>
      <w:pPr>
        <w:ind w:firstLine="84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p>
    <w:p>
      <w:pPr>
        <w:ind w:firstLine="8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分包供应商/制造商类型（如果供应商和制造商不同，只填写制造商类型）：</w:t>
      </w:r>
      <w:r/>
    </w:p>
    <w:p>
      <w:pPr>
        <w:ind w:firstLine="840"/>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 ¨大型企业  ¨中型企业  ¨小微型企业  </w:t>
      </w:r>
      <w:r/>
    </w:p>
    <w:p>
      <w:pPr>
        <w:ind w:firstLine="840"/>
        <w:spacing w:line="400" w:lineRule="exact"/>
        <w:rPr>
          <w:rFonts w:hint="eastAsia" w:ascii="宋体" w:hAnsi="宋体" w:eastAsia="宋体" w:cs="宋体"/>
          <w:sz w:val="24"/>
          <w:szCs w:val="24"/>
        </w:rPr>
      </w:pPr>
      <w:r>
        <w:rPr>
          <w:rFonts w:hint="eastAsia" w:ascii="宋体" w:hAnsi="宋体" w:eastAsia="宋体" w:cs="宋体"/>
          <w:iCs/>
          <w:sz w:val="24"/>
          <w:szCs w:val="24"/>
        </w:rPr>
        <w:t xml:space="preserve"> ¨残疾人福利性单位 ¨监狱企业 ¨其他</w:t>
      </w:r>
      <w:r/>
    </w:p>
    <w:p>
      <w:pPr>
        <w:spacing w:line="400" w:lineRule="exact"/>
        <w:rPr>
          <w:rFonts w:hint="eastAsia" w:ascii="宋体" w:hAnsi="宋体" w:eastAsia="宋体" w:cs="宋体"/>
          <w:iCs/>
          <w:sz w:val="24"/>
          <w:szCs w:val="24"/>
        </w:rPr>
      </w:pPr>
      <w:r>
        <w:rPr>
          <w:rFonts w:hint="eastAsia" w:ascii="宋体" w:hAnsi="宋体" w:eastAsia="宋体" w:cs="宋体"/>
          <w:sz w:val="24"/>
          <w:szCs w:val="24"/>
        </w:rPr>
        <w:t xml:space="preserve">    （8）成交供应商是否为外商投资企业：¨是       ¨否</w:t>
      </w:r>
      <w:r/>
    </w:p>
    <w:p>
      <w:pPr>
        <w:ind w:firstLine="420"/>
        <w:jc w:val="left"/>
        <w:spacing w:line="400" w:lineRule="exact"/>
        <w:widowControl/>
        <w:tabs>
          <w:tab w:val="left" w:pos="1340" w:leader="none"/>
        </w:tabs>
        <w:rPr>
          <w:rFonts w:hint="eastAsia" w:ascii="宋体" w:hAnsi="宋体" w:eastAsia="宋体" w:cs="宋体"/>
          <w:sz w:val="24"/>
          <w:szCs w:val="24"/>
          <w:u w:val="single"/>
        </w:rPr>
      </w:pPr>
      <w:r>
        <w:rPr>
          <w:rFonts w:hint="eastAsia" w:ascii="宋体" w:hAnsi="宋体" w:eastAsia="宋体" w:cs="宋体"/>
          <w:sz w:val="24"/>
          <w:szCs w:val="24"/>
        </w:rPr>
        <w:t xml:space="preserve">     外商投资企业类型：</w:t>
      </w:r>
      <w:r>
        <w:rPr>
          <w:rFonts w:hint="eastAsia" w:ascii="宋体" w:hAnsi="宋体" w:eastAsia="宋体" w:cs="宋体"/>
          <w:iCs/>
          <w:sz w:val="24"/>
          <w:szCs w:val="24"/>
        </w:rPr>
        <w:t xml:space="preserve">¨</w:t>
      </w:r>
      <w:r>
        <w:rPr>
          <w:rFonts w:hint="eastAsia" w:ascii="宋体" w:hAnsi="宋体" w:eastAsia="宋体" w:cs="宋体"/>
          <w:sz w:val="24"/>
          <w:szCs w:val="24"/>
        </w:rPr>
        <w:t xml:space="preserve">全部由外国投资者投资  </w:t>
      </w:r>
      <w:r>
        <w:rPr>
          <w:rFonts w:hint="eastAsia" w:ascii="宋体" w:hAnsi="宋体" w:eastAsia="宋体" w:cs="宋体"/>
          <w:iCs/>
          <w:sz w:val="24"/>
          <w:szCs w:val="24"/>
        </w:rPr>
        <w:t xml:space="preserve">¨部分由外国投资者投资</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rPr>
        <w:t xml:space="preserve">9</w:t>
      </w:r>
      <w:r>
        <w:rPr>
          <w:rFonts w:hint="eastAsia" w:ascii="宋体" w:hAnsi="宋体" w:eastAsia="宋体" w:cs="宋体"/>
          <w:sz w:val="24"/>
          <w:szCs w:val="24"/>
        </w:rPr>
        <w:t xml:space="preserve">）是否涉及进口产品：</w:t>
      </w:r>
      <w:r/>
    </w:p>
    <w:p>
      <w:pPr>
        <w:ind w:firstLine="84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p>
    <w:p>
      <w:pPr>
        <w:ind w:firstLine="8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国别：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规格型号：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8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¨否</w:t>
      </w:r>
      <w:r/>
    </w:p>
    <w:p>
      <w:pPr>
        <w:spacing w:line="40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val="en"/>
        </w:rPr>
        <w:t xml:space="preserve">0</w:t>
      </w:r>
      <w:r>
        <w:rPr>
          <w:rFonts w:hint="eastAsia" w:ascii="宋体" w:hAnsi="宋体" w:eastAsia="宋体" w:cs="宋体"/>
          <w:sz w:val="24"/>
          <w:szCs w:val="24"/>
        </w:rPr>
        <w:t xml:space="preserve">）是否涉及节能产品：</w:t>
      </w:r>
      <w:r/>
    </w:p>
    <w:p>
      <w:p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sz w:val="24"/>
          <w:szCs w:val="24"/>
        </w:rPr>
        <w:t xml:space="preserve">         ¨是，《节能产品政府采购品目清单》的底级品目名称：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r/>
    </w:p>
    <w:p>
      <w:pPr>
        <w:spacing w:line="400" w:lineRule="exact"/>
        <w:tabs>
          <w:tab w:val="left" w:pos="740" w:leader="none"/>
        </w:tabs>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 xml:space="preserve">¨否</w:t>
      </w:r>
      <w:r/>
    </w:p>
    <w:p>
      <w:pPr>
        <w:spacing w:line="40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是否涉及环境标志产品：</w:t>
      </w:r>
      <w:r/>
    </w:p>
    <w:p>
      <w:pPr>
        <w:spacing w:line="400" w:lineRule="exact"/>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         ¨是，《环境标志产品政府采购品目清单》的底级品目名称：</w:t>
      </w:r>
      <w:r>
        <w:rPr>
          <w:rFonts w:hint="eastAsia" w:ascii="宋体" w:hAnsi="宋体" w:eastAsia="宋体" w:cs="宋体"/>
          <w:sz w:val="24"/>
          <w:szCs w:val="24"/>
          <w:u w:val="single"/>
        </w:rPr>
        <w:t xml:space="preserve">         </w:t>
      </w:r>
      <w:r>
        <w:rPr>
          <w:rFonts w:hint="eastAsia" w:ascii="宋体" w:hAnsi="宋体" w:eastAsia="宋体" w:cs="宋体"/>
          <w:iCs/>
          <w:sz w:val="24"/>
          <w:szCs w:val="24"/>
        </w:rPr>
        <w:t xml:space="preserve"> </w:t>
      </w:r>
      <w:r/>
    </w:p>
    <w:p>
      <w:p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r/>
    </w:p>
    <w:p>
      <w:pPr>
        <w:spacing w:line="400" w:lineRule="exact"/>
        <w:tabs>
          <w:tab w:val="left" w:pos="740" w:leader="none"/>
        </w:tabs>
        <w:rPr>
          <w:rFonts w:hint="eastAsia" w:ascii="宋体" w:hAnsi="宋体" w:eastAsia="宋体" w:cs="宋体"/>
          <w:sz w:val="24"/>
          <w:szCs w:val="24"/>
        </w:rPr>
      </w:pPr>
      <w:r>
        <w:rPr>
          <w:rFonts w:hint="eastAsia" w:ascii="宋体" w:hAnsi="宋体" w:eastAsia="宋体" w:cs="宋体"/>
          <w:iCs/>
          <w:sz w:val="24"/>
          <w:szCs w:val="24"/>
        </w:rPr>
        <w:t xml:space="preserve">         </w:t>
      </w:r>
      <w:r>
        <w:rPr>
          <w:rFonts w:hint="eastAsia" w:ascii="宋体" w:hAnsi="宋体" w:eastAsia="宋体" w:cs="宋体"/>
          <w:sz w:val="24"/>
          <w:szCs w:val="24"/>
        </w:rPr>
        <w:t xml:space="preserve">¨否</w:t>
      </w:r>
      <w:r/>
    </w:p>
    <w:p>
      <w:pPr>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是否涉及绿色产品： </w:t>
      </w:r>
      <w:r/>
    </w:p>
    <w:p>
      <w:pPr>
        <w:ind w:firstLine="420"/>
        <w:jc w:val="left"/>
        <w:spacing w:line="400" w:lineRule="exact"/>
        <w:widowControl/>
        <w:rPr>
          <w:rFonts w:hint="eastAsia" w:ascii="宋体" w:hAnsi="宋体" w:eastAsia="宋体" w:cs="宋体"/>
          <w:sz w:val="24"/>
          <w:szCs w:val="24"/>
          <w:u w:val="single"/>
        </w:rPr>
      </w:pPr>
      <w:r>
        <w:rPr>
          <w:rFonts w:hint="eastAsia" w:ascii="宋体" w:hAnsi="宋体" w:eastAsia="宋体" w:cs="宋体"/>
          <w:sz w:val="24"/>
          <w:szCs w:val="24"/>
        </w:rPr>
        <w:t xml:space="preserve">     ¨是，绿色产品政府采购相关政策确定的底级品目名称：</w:t>
      </w:r>
      <w:r>
        <w:rPr>
          <w:rFonts w:hint="eastAsia" w:ascii="宋体" w:hAnsi="宋体" w:eastAsia="宋体" w:cs="宋体"/>
          <w:sz w:val="24"/>
          <w:szCs w:val="24"/>
          <w:u w:val="single"/>
        </w:rPr>
        <w:t xml:space="preserve">         </w:t>
      </w:r>
      <w:r/>
    </w:p>
    <w:p>
      <w:pPr>
        <w:spacing w:line="400" w:lineRule="exact"/>
        <w:tabs>
          <w:tab w:val="left" w:pos="740" w:leader="none"/>
        </w:tabs>
        <w:rPr>
          <w:rFonts w:hint="eastAsia" w:ascii="宋体" w:hAnsi="宋体" w:eastAsia="宋体" w:cs="宋体"/>
          <w:iCs/>
          <w:sz w:val="24"/>
          <w:szCs w:val="24"/>
        </w:rPr>
      </w:pPr>
      <w:r>
        <w:rPr>
          <w:rFonts w:hint="eastAsia" w:ascii="宋体" w:hAnsi="宋体" w:eastAsia="宋体" w:cs="宋体"/>
          <w:iCs/>
          <w:sz w:val="24"/>
          <w:szCs w:val="24"/>
        </w:rPr>
        <w:t xml:space="preserve">                ¨强制采购       ¨优先采购    </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¨否</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lang w:val="en"/>
        </w:rPr>
        <w:t xml:space="preserve">1</w:t>
      </w:r>
      <w:r>
        <w:rPr>
          <w:rFonts w:hint="eastAsia" w:ascii="宋体" w:hAnsi="宋体" w:eastAsia="宋体" w:cs="宋体"/>
          <w:sz w:val="24"/>
          <w:szCs w:val="24"/>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       ¨否      ¨不涉及</w:t>
      </w:r>
      <w:r/>
    </w:p>
    <w:p>
      <w:pPr>
        <w:numPr>
          <w:ilvl w:val="0"/>
          <w:numId w:val="7"/>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合同金额</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p>
    <w:p>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大写：</w:t>
      </w:r>
      <w:r>
        <w:rPr>
          <w:rFonts w:hint="eastAsia" w:ascii="宋体" w:hAnsi="宋体" w:eastAsia="宋体" w:cs="宋体"/>
          <w:sz w:val="24"/>
          <w:szCs w:val="24"/>
          <w:u w:val="single"/>
        </w:rPr>
        <w:t xml:space="preserve">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分包金额（如有）小写：</w:t>
      </w:r>
      <w:r>
        <w:rPr>
          <w:rFonts w:hint="eastAsia" w:ascii="宋体" w:hAnsi="宋体" w:eastAsia="宋体" w:cs="宋体"/>
          <w:sz w:val="24"/>
          <w:szCs w:val="24"/>
          <w:u w:val="single"/>
        </w:rPr>
        <w:t xml:space="preserve">                   </w:t>
      </w:r>
      <w:r/>
    </w:p>
    <w:p>
      <w:pPr>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                         大写：</w:t>
      </w:r>
      <w:r>
        <w:rPr>
          <w:rFonts w:hint="eastAsia" w:ascii="宋体" w:hAnsi="宋体" w:eastAsia="宋体" w:cs="宋体"/>
          <w:sz w:val="24"/>
          <w:szCs w:val="24"/>
          <w:u w:val="single"/>
        </w:rPr>
        <w:t xml:space="preserve">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（注：固定单价合同应填写单价和最高限价）</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（2）合同定价方式（采用组合定价方式的，可以勾选多项）：</w:t>
      </w:r>
      <w:r/>
    </w:p>
    <w:p>
      <w:pPr>
        <w:ind w:firstLine="420"/>
        <w:spacing w:line="400" w:lineRule="exact"/>
        <w:rPr>
          <w:rFonts w:hint="eastAsia" w:ascii="宋体" w:hAnsi="宋体" w:eastAsia="宋体" w:cs="宋体"/>
          <w:sz w:val="24"/>
          <w:szCs w:val="24"/>
        </w:rPr>
      </w:pPr>
      <w:r>
        <w:rPr>
          <w:rFonts w:hint="eastAsia" w:ascii="宋体" w:hAnsi="宋体" w:eastAsia="宋体" w:cs="宋体"/>
          <w:iCs/>
          <w:sz w:val="24"/>
          <w:szCs w:val="24"/>
        </w:rPr>
        <w:t xml:space="preserve">  ¨固定总价 ¨固定单价 ¨固定费率 ¨成本补偿 ¨绩效激励 ¨其他</w:t>
      </w:r>
      <w:r>
        <w:rPr>
          <w:rFonts w:hint="eastAsia" w:ascii="宋体" w:hAnsi="宋体" w:eastAsia="宋体" w:cs="宋体"/>
          <w:sz w:val="24"/>
          <w:szCs w:val="24"/>
          <w:u w:val="single"/>
        </w:rPr>
        <w:t xml:space="preserve">       </w:t>
      </w:r>
      <w:r/>
    </w:p>
    <w:p>
      <w:pPr>
        <w:contextualSpacing/>
        <w:ind w:firstLine="420"/>
        <w:jc w:val="left"/>
        <w:spacing w:line="400" w:lineRule="exact"/>
        <w:widowControl/>
        <w:rPr>
          <w:rFonts w:hint="eastAsia" w:ascii="宋体" w:hAnsi="宋体" w:eastAsia="宋体" w:cs="宋体"/>
          <w:sz w:val="24"/>
          <w:szCs w:val="24"/>
          <w:lang w:bidi="en-US"/>
        </w:rPr>
      </w:pPr>
      <w:r>
        <w:rPr>
          <w:rFonts w:hint="eastAsia" w:ascii="宋体" w:hAnsi="宋体" w:eastAsia="宋体" w:cs="宋体"/>
          <w:sz w:val="24"/>
          <w:szCs w:val="24"/>
          <w:lang w:bidi="en-US"/>
        </w:rPr>
        <w:t xml:space="preserve">（3）付款方式（按项目实际勾选填写）：</w:t>
      </w:r>
      <w:r/>
    </w:p>
    <w:p>
      <w:pPr>
        <w:ind w:firstLine="63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（应明确一次性支付合同款项的条件）                    </w:t>
      </w:r>
      <w:r/>
    </w:p>
    <w:p>
      <w:pPr>
        <w:ind w:firstLine="630"/>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¨分期付款：</w:t>
      </w:r>
      <w:r>
        <w:rPr>
          <w:rFonts w:hint="eastAsia" w:ascii="宋体" w:hAnsi="宋体" w:eastAsia="宋体" w:cs="宋体"/>
          <w:sz w:val="24"/>
          <w:szCs w:val="24"/>
          <w:u w:val="single"/>
        </w:rPr>
        <w:t xml:space="preserve">  （应明确分期支付合同款项的各期比例和支付条件，各期支付条件应与分期履约验收情况挂钩） </w:t>
      </w:r>
      <w:r>
        <w:rPr>
          <w:rFonts w:hint="eastAsia" w:ascii="宋体" w:hAnsi="宋体" w:eastAsia="宋体" w:cs="宋体"/>
          <w:sz w:val="24"/>
          <w:szCs w:val="24"/>
        </w:rPr>
        <w:t xml:space="preserve">，其中涉及预付款的：</w:t>
      </w:r>
      <w:r>
        <w:rPr>
          <w:rFonts w:hint="eastAsia" w:ascii="宋体" w:hAnsi="宋体" w:eastAsia="宋体" w:cs="宋体"/>
          <w:sz w:val="24"/>
          <w:szCs w:val="24"/>
          <w:u w:val="single"/>
        </w:rPr>
        <w:t xml:space="preserve"> （应明确预付款的支付比例和支付条件） </w:t>
      </w:r>
      <w:r/>
    </w:p>
    <w:p>
      <w:pPr>
        <w:ind w:firstLine="63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¨成本补偿：</w:t>
      </w:r>
      <w:r>
        <w:rPr>
          <w:rFonts w:hint="eastAsia" w:ascii="宋体" w:hAnsi="宋体" w:eastAsia="宋体" w:cs="宋体"/>
          <w:sz w:val="24"/>
          <w:szCs w:val="24"/>
          <w:u w:val="single"/>
        </w:rPr>
        <w:t xml:space="preserve">      （应明确按照成本补偿方式的支付方式和支付条件）   </w:t>
      </w:r>
      <w:r/>
    </w:p>
    <w:p>
      <w:pPr>
        <w:ind w:firstLine="63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¨绩效激励：</w:t>
      </w:r>
      <w:r>
        <w:rPr>
          <w:rFonts w:hint="eastAsia" w:ascii="宋体" w:hAnsi="宋体" w:eastAsia="宋体" w:cs="宋体"/>
          <w:sz w:val="24"/>
          <w:szCs w:val="24"/>
          <w:u w:val="single"/>
        </w:rPr>
        <w:t xml:space="preserve">      （应明确按照绩效激励方式的支付方式和支付条件）   </w:t>
      </w:r>
      <w:r/>
    </w:p>
    <w:p>
      <w:pPr>
        <w:numPr>
          <w:ilvl w:val="0"/>
          <w:numId w:val="7"/>
        </w:numPr>
        <w:ind w:firstLine="422"/>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合同履行</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（2）履约地点</w:t>
      </w:r>
      <w:r>
        <w:rPr>
          <w:rFonts w:hint="eastAsia" w:ascii="宋体" w:hAnsi="宋体" w:eastAsia="宋体" w:cs="宋体"/>
          <w:bCs/>
          <w:sz w:val="24"/>
          <w:szCs w:val="24"/>
        </w:rPr>
        <w:t xml:space="preserve">：</w:t>
      </w:r>
      <w:r>
        <w:rPr>
          <w:rFonts w:hint="eastAsia" w:ascii="宋体" w:hAnsi="宋体" w:eastAsia="宋体" w:cs="宋体"/>
          <w:sz w:val="24"/>
          <w:szCs w:val="24"/>
          <w:u w:val="single"/>
        </w:rPr>
        <w:t xml:space="preserve">                             </w:t>
      </w:r>
      <w:r/>
    </w:p>
    <w:p>
      <w:pPr>
        <w:ind w:firstLine="420"/>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（3）履约担保：</w:t>
      </w:r>
      <w:r>
        <w:rPr>
          <w:rFonts w:hint="eastAsia" w:ascii="宋体" w:hAnsi="宋体" w:eastAsia="宋体" w:cs="宋体"/>
          <w:sz w:val="24"/>
          <w:szCs w:val="24"/>
        </w:rPr>
        <w:t xml:space="preserve">是否收取履约保证金：þ是    ¨否</w:t>
      </w:r>
      <w:r/>
    </w:p>
    <w:p>
      <w:pPr>
        <w:ind w:firstLine="440"/>
        <w:jc w:val="left"/>
        <w:spacing w:line="400" w:lineRule="exact"/>
        <w:widowControl/>
        <w:rPr>
          <w:rFonts w:hint="eastAsia"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sz w:val="24"/>
          <w:szCs w:val="24"/>
        </w:rPr>
        <w:t xml:space="preserve"> 如以履约保函（保险）形式缴纳履约保证金，供应商可通过政府采购电子履约保函（保险）平台（www.jsdzbh.com）在线申请履约保函（保险）。</w:t>
      </w:r>
      <w:r>
        <w:rPr>
          <w:rFonts w:hint="eastAsia" w:ascii="宋体" w:hAnsi="宋体" w:eastAsia="宋体" w:cs="宋体"/>
          <w:bCs/>
          <w:sz w:val="24"/>
          <w:szCs w:val="24"/>
          <w:u w:val="single"/>
        </w:rPr>
        <w:t xml:space="preserve">                            </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合同履行结束后，甲方应及时退还交纳的履约保证金。</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履约保证金的退还：</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（1）方式：退还至乙方缴纳履约保证金的账户。如为保函（保险），在到期时自行失效。</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（2）时间：验收合格且甲方收到发票后30日内。</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（3）条件：按合同要求全部履约完成并经甲方验收合格，且甲方收到乙方出具的发票。</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（4）不予退还情形：</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4.2乙方不履行与甲方订立的合同的；</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4.3乙方所供货物或服务不符合磋商文件规定要求的；</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4.4乙方采取欺骗、弄虚作假方式投标的或与其他供应商串通投标的；</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4.5乙方将合同内容转包、违法分包的；</w:t>
      </w:r>
      <w:r/>
    </w:p>
    <w:p>
      <w:pPr>
        <w:ind w:firstLine="420"/>
        <w:jc w:val="left"/>
        <w:spacing w:line="400" w:lineRule="exact"/>
        <w:widowControl/>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4.6乙方故意捏造事实或伪造证明材料，进行虚假恶意投诉或反映的。</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收取</w:t>
      </w:r>
      <w:bookmarkStart w:id="121" w:name="OLE_LINK22"/>
      <w:r>
        <w:rPr>
          <w:rFonts w:hint="eastAsia" w:ascii="宋体" w:hAnsi="宋体" w:eastAsia="宋体" w:cs="宋体"/>
          <w:sz w:val="24"/>
          <w:szCs w:val="24"/>
        </w:rPr>
        <w:t xml:space="preserve">履约保证金金额：</w:t>
      </w:r>
      <w:r>
        <w:rPr>
          <w:rFonts w:hint="eastAsia" w:ascii="宋体" w:hAnsi="宋体" w:eastAsia="宋体" w:cs="宋体"/>
          <w:bCs/>
          <w:sz w:val="24"/>
          <w:szCs w:val="24"/>
          <w:u w:val="single"/>
        </w:rPr>
        <w:t xml:space="preserve"> （合同金额的10%）</w:t>
      </w:r>
      <w:bookmarkEnd w:id="121"/>
      <w:r>
        <w:rPr>
          <w:rFonts w:hint="eastAsia" w:ascii="宋体" w:hAnsi="宋体" w:eastAsia="宋体" w:cs="宋体"/>
          <w:bCs/>
          <w:sz w:val="24"/>
          <w:szCs w:val="24"/>
          <w:u w:val="single"/>
        </w:rPr>
        <w:t xml:space="preserve">                           </w:t>
      </w:r>
      <w:r/>
    </w:p>
    <w:p>
      <w:pPr>
        <w:ind w:firstLine="420"/>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 履约担保期限：</w:t>
      </w:r>
      <w:r>
        <w:rPr>
          <w:rFonts w:hint="eastAsia" w:ascii="宋体" w:hAnsi="宋体" w:eastAsia="宋体" w:cs="宋体"/>
          <w:bCs/>
          <w:sz w:val="24"/>
          <w:szCs w:val="24"/>
          <w:u w:val="single"/>
        </w:rPr>
        <w:t xml:space="preserve">                                  </w:t>
      </w:r>
      <w:r/>
    </w:p>
    <w:p>
      <w:pPr>
        <w:ind w:firstLine="42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rPr>
        <w:t xml:space="preserve">                                                        </w:t>
      </w:r>
      <w:r/>
    </w:p>
    <w:p>
      <w:pPr>
        <w:ind w:firstLine="420"/>
        <w:spacing w:line="400" w:lineRule="exact"/>
        <w:rPr>
          <w:rFonts w:hint="eastAsia" w:ascii="宋体" w:hAnsi="宋体" w:eastAsia="宋体" w:cs="宋体"/>
          <w:sz w:val="24"/>
          <w:szCs w:val="24"/>
          <w:u w:val="single"/>
        </w:rPr>
      </w:pPr>
      <w:r>
        <w:rPr>
          <w:rFonts w:hint="eastAsia" w:ascii="宋体" w:hAnsi="宋体" w:eastAsia="宋体" w:cs="宋体"/>
          <w:bCs/>
          <w:sz w:val="24"/>
          <w:szCs w:val="24"/>
        </w:rPr>
        <w:t xml:space="preserve">（5）风险处置措施和替代方案：</w:t>
      </w:r>
      <w:r>
        <w:rPr>
          <w:rFonts w:hint="eastAsia" w:ascii="宋体" w:hAnsi="宋体" w:eastAsia="宋体" w:cs="宋体"/>
          <w:color w:val="0000ff"/>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                                 </w:t>
      </w:r>
      <w:r/>
    </w:p>
    <w:p>
      <w:pPr>
        <w:numPr>
          <w:ilvl w:val="0"/>
          <w:numId w:val="7"/>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合同验收</w:t>
      </w:r>
      <w:r/>
    </w:p>
    <w:p>
      <w:pPr>
        <w:numPr>
          <w:ilvl w:val="0"/>
          <w:numId w:val="9"/>
        </w:numPr>
        <w:ind w:firstLine="42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hint="eastAsia" w:ascii="宋体" w:hAnsi="宋体" w:eastAsia="宋体" w:cs="宋体"/>
          <w:sz w:val="24"/>
          <w:szCs w:val="24"/>
        </w:rPr>
        <w:t xml:space="preserve">¨</w:t>
      </w:r>
      <w:r>
        <w:rPr>
          <w:rFonts w:hint="eastAsia" w:ascii="宋体" w:hAnsi="宋体" w:eastAsia="宋体" w:cs="宋体"/>
          <w:bCs/>
          <w:sz w:val="24"/>
          <w:szCs w:val="24"/>
        </w:rPr>
        <w:t xml:space="preserve">自行组织 </w:t>
      </w:r>
      <w:r>
        <w:rPr>
          <w:rFonts w:hint="eastAsia" w:ascii="宋体" w:hAnsi="宋体" w:eastAsia="宋体" w:cs="宋体"/>
          <w:sz w:val="24"/>
          <w:szCs w:val="24"/>
        </w:rPr>
        <w:t xml:space="preserve">¨</w:t>
      </w:r>
      <w:r>
        <w:rPr>
          <w:rFonts w:hint="eastAsia" w:ascii="宋体" w:hAnsi="宋体" w:eastAsia="宋体" w:cs="宋体"/>
          <w:bCs/>
          <w:sz w:val="24"/>
          <w:szCs w:val="24"/>
        </w:rPr>
        <w:t xml:space="preserve">委托第三方组织</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     验收主体：</w:t>
      </w:r>
      <w:r>
        <w:rPr>
          <w:rFonts w:hint="eastAsia" w:ascii="宋体" w:hAnsi="宋体" w:eastAsia="宋体" w:cs="宋体"/>
          <w:bCs/>
          <w:sz w:val="24"/>
          <w:szCs w:val="24"/>
          <w:u w:val="single"/>
        </w:rPr>
        <w:t xml:space="preserve">                  </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     是否邀请本项目的其他供应商参加验收：</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25"/>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是否邀请专家参加验收：</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25"/>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是否邀请服务对象参加验收：</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25"/>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是否邀请第三方检测机构参加验收：</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25"/>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是否进行抽查检测：</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25"/>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是否存在破坏性检测：</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u w:val="single"/>
        </w:rPr>
        <w:t xml:space="preserve">（应明确对被破坏的检测产品的处理方式）</w:t>
      </w:r>
      <w:r/>
    </w:p>
    <w:p>
      <w:pPr>
        <w:ind w:firstLine="525"/>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525"/>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w:t>
      </w:r>
      <w:r/>
    </w:p>
    <w:p>
      <w:pPr>
        <w:ind w:firstLine="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rPr>
        <w:t xml:space="preserve">（计划于何时验收/供应商提出验收申请之日起   日内组织验收） </w:t>
      </w:r>
      <w:r/>
    </w:p>
    <w:p>
      <w:pPr>
        <w:ind w:firstLine="42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hint="eastAsia" w:ascii="宋体" w:hAnsi="宋体" w:eastAsia="宋体" w:cs="宋体"/>
          <w:sz w:val="24"/>
          <w:szCs w:val="24"/>
        </w:rPr>
        <w:t xml:space="preserve">¨</w:t>
      </w:r>
      <w:r>
        <w:rPr>
          <w:rFonts w:hint="eastAsia" w:ascii="宋体" w:hAnsi="宋体" w:eastAsia="宋体" w:cs="宋体"/>
          <w:bCs/>
          <w:sz w:val="24"/>
          <w:szCs w:val="24"/>
        </w:rPr>
        <w:t xml:space="preserve">一次性验收         </w:t>
      </w:r>
      <w:r/>
    </w:p>
    <w:p>
      <w:pPr>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u w:val="single"/>
        </w:rPr>
        <w:t xml:space="preserve"> （应明确分期</w:t>
      </w:r>
      <w:r>
        <w:rPr>
          <w:rFonts w:hint="eastAsia" w:ascii="宋体" w:hAnsi="宋体" w:eastAsia="宋体" w:cs="宋体"/>
          <w:bCs/>
          <w:sz w:val="24"/>
          <w:szCs w:val="24"/>
          <w:u w:val="single"/>
          <w:lang w:val="en"/>
        </w:rPr>
        <w:t xml:space="preserve">/分项验收的工作安排</w:t>
      </w:r>
      <w:r>
        <w:rPr>
          <w:rFonts w:hint="eastAsia" w:ascii="宋体" w:hAnsi="宋体" w:eastAsia="宋体" w:cs="宋体"/>
          <w:bCs/>
          <w:sz w:val="24"/>
          <w:szCs w:val="24"/>
          <w:u w:val="single"/>
        </w:rPr>
        <w:t xml:space="preserve">）  </w:t>
      </w:r>
      <w:r/>
    </w:p>
    <w:p>
      <w:pPr>
        <w:ind w:firstLine="42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w:t>
      </w:r>
      <w:r/>
    </w:p>
    <w:p>
      <w:pPr>
        <w:ind w:firstLine="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                                         </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bCs/>
          <w:sz w:val="24"/>
          <w:szCs w:val="24"/>
        </w:rPr>
        <w:t xml:space="preserve">（7）是否以采购活动中供应商提供的样品作为参考：</w:t>
      </w:r>
      <w:r>
        <w:rPr>
          <w:rFonts w:hint="eastAsia" w:ascii="宋体" w:hAnsi="宋体" w:eastAsia="宋体" w:cs="宋体"/>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否</w:t>
      </w:r>
      <w:r/>
    </w:p>
    <w:p>
      <w:pPr>
        <w:ind w:firstLine="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      （产权过户登记等）          </w:t>
      </w:r>
      <w:r/>
    </w:p>
    <w:p>
      <w:pPr>
        <w:numPr>
          <w:ilvl w:val="0"/>
          <w:numId w:val="7"/>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组成合同的文件</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（1）政府采购合同协议书及其变更、补充协议</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（2）政府采购合同专用条款</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（3）政府采购合同通用条款</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（4）成交通知书</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（5）投标（响应）文件</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rPr>
        <w:t xml:space="preserve">国家法律、行政法规和规章制度规定或合同约定的作为合同组成部分的其他文件</w:t>
      </w:r>
      <w:r/>
    </w:p>
    <w:p>
      <w:pPr>
        <w:numPr>
          <w:ilvl w:val="0"/>
          <w:numId w:val="7"/>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numPr>
          <w:ilvl w:val="0"/>
          <w:numId w:val="7"/>
        </w:numPr>
        <w:ind w:firstLine="42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合同份数</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20"/>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附件：具体标的及其技术要求和商务要求、联合协议、分包意向协议等</w:t>
      </w:r>
      <w:r>
        <w:rPr>
          <w:rFonts w:hint="eastAsia" w:ascii="宋体" w:hAnsi="宋体" w:eastAsia="宋体" w:cs="宋体"/>
          <w:sz w:val="24"/>
          <w:szCs w:val="24"/>
          <w:lang w:val="en"/>
        </w:rPr>
        <w:t xml:space="preserve">   </w:t>
      </w:r>
      <w:r/>
    </w:p>
    <w:p>
      <w:pPr>
        <w:contextualSpacing/>
        <w:ind w:left="720"/>
        <w:jc w:val="left"/>
        <w:widowControl/>
        <w:rPr>
          <w:rFonts w:hint="eastAsia" w:ascii="宋体" w:hAnsi="宋体" w:eastAsia="宋体" w:cs="宋体"/>
          <w:sz w:val="24"/>
          <w:szCs w:val="24"/>
          <w:lang w:bidi="en-US"/>
        </w:rPr>
      </w:pPr>
      <w:r>
        <w:rPr>
          <w:rFonts w:hint="eastAsia" w:ascii="宋体" w:hAnsi="宋体" w:eastAsia="宋体" w:cs="宋体"/>
          <w:sz w:val="24"/>
          <w:szCs w:val="24"/>
          <w:lang w:bidi="en-US"/>
        </w:rPr>
      </w:r>
      <w:r/>
    </w:p>
    <w:tbl>
      <w:tblPr>
        <w:tblStyle w:val="80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00"/>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住  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jc w:val="center"/>
        <w:keepLines/>
        <w:keepNext/>
        <w:spacing w:before="120" w:after="260" w:line="415" w:lineRule="auto"/>
        <w:rPr>
          <w:rFonts w:hint="eastAsia" w:ascii="宋体" w:hAnsi="宋体" w:eastAsia="宋体" w:cs="宋体"/>
          <w:b/>
          <w:bCs/>
          <w:sz w:val="24"/>
          <w:szCs w:val="24"/>
        </w:rPr>
        <w:outlineLvl w:val="1"/>
      </w:pPr>
      <w:r>
        <w:rPr>
          <w:rFonts w:hint="eastAsia" w:ascii="宋体" w:hAnsi="宋体" w:eastAsia="宋体" w:cs="宋体"/>
          <w:sz w:val="24"/>
          <w:szCs w:val="24"/>
          <w:u w:val="single"/>
        </w:rPr>
        <w:br w:type="page" w:clear="all"/>
      </w:r>
      <w:r>
        <w:rPr>
          <w:rFonts w:hint="eastAsia" w:ascii="宋体" w:hAnsi="宋体" w:eastAsia="宋体" w:cs="宋体"/>
          <w:sz w:val="24"/>
          <w:szCs w:val="24"/>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szCs w:val="24"/>
        </w:rPr>
      </w:pPr>
      <w:r>
        <w:rPr>
          <w:rFonts w:hint="eastAsia"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1.1合同当事人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（1）采购人（以</w:t>
      </w:r>
      <w:r>
        <w:rPr>
          <w:rFonts w:hint="eastAsia" w:ascii="宋体" w:hAnsi="宋体" w:eastAsia="宋体" w:cs="宋体"/>
          <w:sz w:val="24"/>
          <w:szCs w:val="24"/>
          <w:lang w:eastAsia="zh-CN"/>
        </w:rPr>
        <w:t xml:space="preserve">下简</w:t>
      </w:r>
      <w:r>
        <w:rPr>
          <w:rFonts w:hint="eastAsia" w:ascii="宋体" w:hAnsi="宋体" w:eastAsia="宋体" w:cs="宋体"/>
          <w:sz w:val="24"/>
          <w:szCs w:val="24"/>
        </w:rPr>
        <w:t xml:space="preserve">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（2）供应商（以</w:t>
      </w:r>
      <w:r>
        <w:rPr>
          <w:rFonts w:hint="eastAsia" w:ascii="宋体" w:hAnsi="宋体" w:eastAsia="宋体" w:cs="宋体"/>
          <w:sz w:val="24"/>
          <w:szCs w:val="24"/>
          <w:lang w:eastAsia="zh-CN"/>
        </w:rPr>
        <w:t xml:space="preserve">下简</w:t>
      </w:r>
      <w:r>
        <w:rPr>
          <w:rFonts w:hint="eastAsia" w:ascii="宋体" w:hAnsi="宋体" w:eastAsia="宋体" w:cs="宋体"/>
          <w:sz w:val="24"/>
          <w:szCs w:val="24"/>
        </w:rPr>
        <w:t xml:space="preserve">称乙方）是指参加政府采购活动并且成交，向采购人提供合同约定的货物及其相关服务的法人、非法人组织或者自然人。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（3）其他合同主体是指除采购人和供应商以外，</w:t>
      </w:r>
      <w:r>
        <w:rPr>
          <w:rFonts w:hint="eastAsia" w:ascii="宋体" w:hAnsi="宋体" w:eastAsia="宋体" w:cs="宋体"/>
          <w:bCs/>
          <w:color w:val="000000"/>
          <w:sz w:val="24"/>
          <w:szCs w:val="24"/>
        </w:rPr>
        <w:t xml:space="preserve">依法参与合同缔结或履行，享有权利、承担义务的合同当事人</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合同当事人意思表示达成一致的任何协议，包括签署的政府采购合同协议书及其变更、补充协议，政府采购合同专用条款，政府采购合同通用条款，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w:t>
      </w:r>
      <w:r>
        <w:rPr>
          <w:rFonts w:hint="eastAsia" w:ascii="宋体" w:hAnsi="宋体" w:eastAsia="宋体" w:cs="宋体"/>
          <w:color w:val="000000"/>
          <w:sz w:val="24"/>
          <w:szCs w:val="24"/>
        </w:rPr>
        <w:t xml:space="preserve">包括软件）及相关的备品备件、工具、手册及</w:t>
      </w:r>
      <w:r>
        <w:rPr>
          <w:rFonts w:hint="eastAsia" w:ascii="宋体" w:hAnsi="宋体" w:eastAsia="宋体" w:cs="宋体"/>
          <w:color w:val="000000"/>
          <w:sz w:val="24"/>
          <w:szCs w:val="24"/>
          <w:lang w:val="en"/>
        </w:rPr>
        <w:t xml:space="preserve">其他</w:t>
      </w:r>
      <w:r>
        <w:rPr>
          <w:rFonts w:hint="eastAsia" w:ascii="宋体" w:hAnsi="宋体" w:eastAsia="宋体" w:cs="宋体"/>
          <w:color w:val="000000"/>
          <w:sz w:val="24"/>
          <w:szCs w:val="24"/>
        </w:rPr>
        <w:t xml:space="preserve">技术资料和材料等。</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相关</w:t>
      </w:r>
      <w:r>
        <w:rPr>
          <w:rFonts w:hint="eastAsia" w:ascii="宋体" w:hAnsi="宋体" w:eastAsia="宋体" w:cs="宋体"/>
          <w:color w:val="000000"/>
          <w:sz w:val="24"/>
          <w:szCs w:val="24"/>
        </w:rPr>
        <w:t xml:space="preserve">服务”系指根据合同规定，乙方应提供的与货物有关的技术、管理和</w:t>
      </w:r>
      <w:r>
        <w:rPr>
          <w:rFonts w:hint="eastAsia" w:ascii="宋体" w:hAnsi="宋体" w:eastAsia="宋体" w:cs="宋体"/>
          <w:color w:val="000000"/>
          <w:sz w:val="24"/>
          <w:szCs w:val="24"/>
          <w:lang w:val="en"/>
        </w:rPr>
        <w:t xml:space="preserve">其他</w:t>
      </w:r>
      <w:r>
        <w:rPr>
          <w:rFonts w:hint="eastAsia" w:ascii="宋体" w:hAnsi="宋体" w:eastAsia="宋体" w:cs="宋体"/>
          <w:color w:val="000000"/>
          <w:sz w:val="24"/>
          <w:szCs w:val="24"/>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4"/>
          <w:szCs w:val="24"/>
          <w:lang w:val="en"/>
        </w:rPr>
        <w:t xml:space="preserve">其他</w:t>
      </w:r>
      <w:r>
        <w:rPr>
          <w:rFonts w:hint="eastAsia" w:ascii="宋体" w:hAnsi="宋体" w:eastAsia="宋体" w:cs="宋体"/>
          <w:color w:val="000000"/>
          <w:sz w:val="24"/>
          <w:szCs w:val="24"/>
        </w:rPr>
        <w:t xml:space="preserve">义务。</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（5）“分包”系指成交供应商按采购文件、投标（响应）文件的规定，根据分包意向协议，将成交项目中的部分履约内容，分给具有相应资质条件的供应商履行合同的行为。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“联合体”系指由两个以上的自然人、法人或者非法人组织组成，以一个供应商的身份共同参加政府采购的主体</w:t>
      </w:r>
      <w:r>
        <w:rPr>
          <w:rFonts w:hint="eastAsia" w:ascii="宋体" w:hAnsi="宋体" w:eastAsia="宋体" w:cs="宋体"/>
          <w:color w:val="000000"/>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（7）其他术语解释，见【</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w:t>
      </w:r>
      <w:r/>
    </w:p>
    <w:p>
      <w:pPr>
        <w:numPr>
          <w:ilvl w:val="0"/>
          <w:numId w:val="10"/>
        </w:numPr>
        <w:jc w:val="left"/>
        <w:spacing w:line="400" w:lineRule="exact"/>
        <w:rPr>
          <w:rFonts w:hint="eastAsia" w:ascii="宋体" w:hAnsi="宋体" w:eastAsia="宋体" w:cs="宋体"/>
          <w:b/>
          <w:bCs/>
          <w:color w:val="000000"/>
          <w:sz w:val="24"/>
          <w:szCs w:val="24"/>
        </w:rPr>
      </w:pPr>
      <w:r>
        <w:rPr>
          <w:rFonts w:hint="eastAsia" w:ascii="宋体" w:hAnsi="宋体" w:eastAsia="宋体" w:cs="宋体"/>
          <w:b/>
          <w:color w:val="000000"/>
          <w:sz w:val="24"/>
          <w:szCs w:val="24"/>
        </w:rPr>
        <w:t xml:space="preserve">合同标的及金额</w:t>
      </w:r>
      <w:r/>
    </w:p>
    <w:p>
      <w:pPr>
        <w:ind w:firstLine="420"/>
        <w:jc w:val="left"/>
        <w:spacing w:line="400" w:lineRule="exac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 xml:space="preserve">2.1 合同标的及金额应与成交结果一致。乙方为履行本合同而发生的所有费用均应包含在合同价款中，甲方不再另行支付其他任何费用。</w:t>
      </w:r>
      <w:r/>
    </w:p>
    <w:p>
      <w:pPr>
        <w:jc w:val="left"/>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 履行合同的时间、地点和方式</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 xml:space="preserve">乙方应当在约定的时间、地点，按照约定方式履行合同。</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 甲方的权利和义务</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4.4 甲方应当按照合同约定及时对交付的货物进行验收，</w:t>
      </w:r>
      <w:r>
        <w:rPr>
          <w:rFonts w:hint="eastAsia" w:ascii="宋体" w:hAnsi="宋体" w:eastAsia="宋体" w:cs="宋体"/>
          <w:sz w:val="24"/>
          <w:szCs w:val="24"/>
        </w:rPr>
        <w:t xml:space="preserve">未</w:t>
      </w:r>
      <w:r>
        <w:rPr>
          <w:rFonts w:hint="eastAsia" w:ascii="宋体" w:hAnsi="宋体" w:eastAsia="宋体" w:cs="宋体"/>
          <w:color w:val="000000"/>
          <w:sz w:val="24"/>
          <w:szCs w:val="24"/>
        </w:rPr>
        <w:t xml:space="preserve">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w:t>
      </w:r>
      <w:r>
        <w:rPr>
          <w:rFonts w:hint="eastAsia" w:ascii="宋体" w:hAnsi="宋体" w:eastAsia="宋体" w:cs="宋体"/>
          <w:color w:val="000000"/>
          <w:sz w:val="24"/>
          <w:szCs w:val="24"/>
        </w:rPr>
        <w:t xml:space="preserve">视为验收通过。</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 甲方应当根据合同约定及时向乙方支付合同价款，不得以内部人员变更、履行内部付款流程等为由，拒绝或延迟支付。</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约定应由甲方承担的其他义务和责任。</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5. 乙方的权利和义务</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5.3乙方有权根据合同约定向甲方收取合同价款。</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5.4国家法律法规规定及</w:t>
      </w:r>
      <w:r>
        <w:rPr>
          <w:rFonts w:hint="eastAsia" w:ascii="宋体" w:hAnsi="宋体" w:eastAsia="宋体" w:cs="宋体"/>
          <w:b/>
          <w:color w:val="000000"/>
          <w:sz w:val="24"/>
          <w:szCs w:val="24"/>
        </w:rPr>
        <w:t xml:space="preserve">【政府采购合同专用条款】</w:t>
      </w:r>
      <w:r>
        <w:rPr>
          <w:rFonts w:hint="eastAsia" w:ascii="宋体" w:hAnsi="宋体" w:eastAsia="宋体" w:cs="宋体"/>
          <w:color w:val="000000"/>
          <w:sz w:val="24"/>
          <w:szCs w:val="24"/>
        </w:rPr>
        <w:t xml:space="preserve">约定应由乙方承担的其他义务和责任。</w:t>
      </w:r>
      <w:r/>
    </w:p>
    <w:p>
      <w:pPr>
        <w:numPr>
          <w:ilvl w:val="0"/>
          <w:numId w:val="11"/>
        </w:num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合同履行</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color w:val="000000"/>
          <w:sz w:val="24"/>
          <w:szCs w:val="24"/>
        </w:rPr>
        <w:t xml:space="preserve">约定顺序履行合同义务；如果没有先后顺序的，应当同时履行。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7. 货物包装、运输、保险和交付要求</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本合同</w:t>
      </w:r>
      <w:r>
        <w:rPr>
          <w:rFonts w:hint="eastAsia" w:ascii="宋体" w:hAnsi="宋体" w:eastAsia="宋体" w:cs="宋体"/>
          <w:bCs/>
          <w:color w:val="000000"/>
          <w:sz w:val="24"/>
          <w:szCs w:val="24"/>
        </w:rPr>
        <w:t xml:space="preserve">涉及商品包装、快递包装的，</w:t>
      </w:r>
      <w:r>
        <w:rPr>
          <w:rFonts w:hint="eastAsia" w:ascii="宋体" w:hAnsi="宋体" w:eastAsia="宋体" w:cs="宋体"/>
          <w:color w:val="000000"/>
          <w:sz w:val="24"/>
          <w:szCs w:val="24"/>
        </w:rPr>
        <w:t xml:space="preserve">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包装应适应远距离运输、防潮、防震、防锈和防野蛮装卸等要求，确保货物安全无损地运抵</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约定的</w:t>
      </w:r>
      <w:r>
        <w:rPr>
          <w:rFonts w:hint="eastAsia" w:ascii="宋体" w:hAnsi="宋体" w:eastAsia="宋体" w:cs="宋体"/>
          <w:color w:val="000000"/>
          <w:sz w:val="24"/>
          <w:szCs w:val="24"/>
        </w:rPr>
        <w:t xml:space="preserve">指定现场。</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除</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另有约定外，</w:t>
      </w:r>
      <w:r>
        <w:rPr>
          <w:rFonts w:hint="eastAsia" w:ascii="宋体" w:hAnsi="宋体" w:eastAsia="宋体" w:cs="宋体"/>
          <w:color w:val="000000"/>
          <w:sz w:val="24"/>
          <w:szCs w:val="24"/>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货物保险要求按</w:t>
      </w:r>
      <w:r>
        <w:rPr>
          <w:rFonts w:hint="eastAsia" w:ascii="宋体" w:hAnsi="宋体" w:eastAsia="宋体" w:cs="宋体"/>
          <w:b/>
          <w:color w:val="000000"/>
          <w:sz w:val="24"/>
          <w:szCs w:val="24"/>
        </w:rPr>
        <w:t xml:space="preserve">【政府采购合同专用条款】</w:t>
      </w:r>
      <w:r>
        <w:rPr>
          <w:rFonts w:hint="eastAsia" w:ascii="宋体" w:hAnsi="宋体" w:eastAsia="宋体" w:cs="宋体"/>
          <w:bCs/>
          <w:color w:val="000000"/>
          <w:sz w:val="24"/>
          <w:szCs w:val="24"/>
        </w:rPr>
        <w:t xml:space="preserve">规定执行</w:t>
      </w:r>
      <w:r>
        <w:rPr>
          <w:rFonts w:hint="eastAsia" w:ascii="宋体" w:hAnsi="宋体" w:eastAsia="宋体" w:cs="宋体"/>
          <w:color w:val="000000"/>
          <w:sz w:val="24"/>
          <w:szCs w:val="24"/>
        </w:rPr>
        <w:t xml:space="preserve">。</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除采购活动对商品包装、快递包装达成具体约定外，乙方提供产品及相关快递服务</w:t>
      </w:r>
      <w:r>
        <w:rPr>
          <w:rFonts w:hint="eastAsia" w:ascii="宋体" w:hAnsi="宋体" w:eastAsia="宋体" w:cs="宋体"/>
          <w:color w:val="000000"/>
          <w:sz w:val="24"/>
          <w:szCs w:val="24"/>
          <w:lang w:eastAsia="zh-CN"/>
        </w:rPr>
        <w:t xml:space="preserve">涉及</w:t>
      </w:r>
      <w:r>
        <w:rPr>
          <w:rFonts w:hint="eastAsia" w:ascii="宋体" w:hAnsi="宋体" w:eastAsia="宋体" w:cs="宋体"/>
          <w:color w:val="000000"/>
          <w:sz w:val="24"/>
          <w:szCs w:val="24"/>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 乙方在运输到达之前应提前通知甲方，并提示货物运输装卸的注意事项，甲方配合乙方做好货物的接收工作。</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 xml:space="preserve">质量标准和保证</w:t>
      </w:r>
      <w:r/>
    </w:p>
    <w:p>
      <w:pPr>
        <w:ind w:firstLine="42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w:t>
      </w:r>
      <w:r>
        <w:rPr>
          <w:rFonts w:hint="eastAsia" w:ascii="宋体" w:hAnsi="宋体" w:eastAsia="宋体" w:cs="宋体"/>
          <w:color w:val="000000"/>
          <w:sz w:val="24"/>
          <w:szCs w:val="24"/>
        </w:rPr>
        <w:t xml:space="preserve">约定的</w:t>
      </w:r>
      <w:r>
        <w:rPr>
          <w:rFonts w:hint="eastAsia" w:ascii="宋体" w:hAnsi="宋体" w:eastAsia="宋体" w:cs="宋体"/>
          <w:sz w:val="24"/>
          <w:szCs w:val="24"/>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.1条规定以书面形式</w:t>
      </w:r>
      <w:r>
        <w:rPr>
          <w:rFonts w:hint="eastAsia" w:ascii="宋体" w:hAnsi="宋体" w:eastAsia="宋体" w:cs="宋体"/>
          <w:color w:val="000000"/>
          <w:sz w:val="24"/>
          <w:szCs w:val="24"/>
        </w:rPr>
        <w:t xml:space="preserve">追究</w:t>
      </w:r>
      <w:r>
        <w:rPr>
          <w:rFonts w:hint="eastAsia" w:ascii="宋体" w:hAnsi="宋体" w:eastAsia="宋体" w:cs="宋体"/>
          <w:sz w:val="24"/>
          <w:szCs w:val="24"/>
        </w:rPr>
        <w:t xml:space="preserve">乙方</w:t>
      </w:r>
      <w:r>
        <w:rPr>
          <w:rFonts w:hint="eastAsia" w:ascii="宋体" w:hAnsi="宋体" w:eastAsia="宋体" w:cs="宋体"/>
          <w:color w:val="000000"/>
          <w:sz w:val="24"/>
          <w:szCs w:val="24"/>
        </w:rPr>
        <w:t xml:space="preserve">的违约责任</w:t>
      </w:r>
      <w:r>
        <w:rPr>
          <w:rFonts w:hint="eastAsia" w:ascii="宋体" w:hAnsi="宋体" w:eastAsia="宋体" w:cs="宋体"/>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szCs w:val="24"/>
        </w:rPr>
      </w:pPr>
      <w:r>
        <w:rPr>
          <w:rFonts w:hint="eastAsia" w:ascii="宋体" w:hAnsi="宋体" w:eastAsia="宋体" w:cs="宋体"/>
          <w:b/>
          <w:bCs/>
          <w:color w:val="000000"/>
          <w:sz w:val="24"/>
          <w:szCs w:val="24"/>
        </w:rPr>
        <w:t xml:space="preserve">9</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 </w:t>
      </w:r>
      <w:r>
        <w:rPr>
          <w:rFonts w:hint="eastAsia" w:ascii="宋体" w:hAnsi="宋体" w:eastAsia="宋体" w:cs="宋体"/>
          <w:b/>
          <w:bCs/>
          <w:sz w:val="24"/>
          <w:szCs w:val="24"/>
        </w:rPr>
        <w:t xml:space="preserve">权利瑕疵担保</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乙方保证对其出售的货物享有合法的权利。</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 xml:space="preserve">乙方保证在交付的货物上不存在抵押权等担保物权。</w:t>
      </w:r>
      <w:r/>
    </w:p>
    <w:p>
      <w:pPr>
        <w:ind w:firstLine="420"/>
        <w:jc w:val="left"/>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 知识产权保护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10.1 乙方对其所销售的货物应当享有知识产权或经权利人合法授权，保证没有侵犯任</w:t>
      </w:r>
      <w:r>
        <w:rPr>
          <w:rFonts w:hint="eastAsia" w:ascii="宋体" w:hAnsi="宋体" w:eastAsia="宋体" w:cs="宋体"/>
          <w:sz w:val="24"/>
          <w:szCs w:val="24"/>
        </w:rPr>
        <w:t xml:space="preserve">何第三人的知识产权等权利。因违反前述约定对第三人构成侵权的，应当由乙方向第三人承担法律责任；甲方依法向第三人赔偿后，有权向乙方追偿。甲方有其他损失的，乙方应当赔偿。</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ind w:firstLine="42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numPr>
          <w:ilvl w:val="0"/>
          <w:numId w:val="12"/>
        </w:num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合同变更、中止与终止</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    16.1合同的变更</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ind w:firstLine="440"/>
        <w:jc w:val="left"/>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w:t>
      </w:r>
      <w:r>
        <w:rPr>
          <w:rFonts w:hint="eastAsia" w:ascii="宋体" w:hAnsi="宋体" w:eastAsia="宋体" w:cs="宋体"/>
          <w:sz w:val="24"/>
          <w:szCs w:val="24"/>
          <w:lang w:eastAsia="zh-CN"/>
        </w:rPr>
        <w:t xml:space="preserve">应当</w:t>
      </w:r>
      <w:r>
        <w:rPr>
          <w:rFonts w:hint="eastAsia" w:ascii="宋体" w:hAnsi="宋体" w:eastAsia="宋体" w:cs="宋体"/>
          <w:sz w:val="24"/>
          <w:szCs w:val="24"/>
        </w:rPr>
        <w:t xml:space="preserve">按照法律、行政法规的强制性规定修改本合同的相关条款。</w:t>
      </w:r>
      <w:r/>
    </w:p>
    <w:p>
      <w:pPr>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p>
    <w:p>
      <w:pPr>
        <w:ind w:firstLine="42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jc w:val="left"/>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23.多源数据权属条款</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 多源数据权属与安全条款</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23.1 原始数据权利与安全</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江苏省皂河抽水站）提供的全部原始多源数据（包括但不限于监测数据、地理信息、水工数据、视频数据、电气数据及其他与本项目相关的数据），所有权永久归采购人。供应商仅可在本项目实施范围内使用，不得以任何形式留存、复制、外泄或用于商用。</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最终验收后30日内，供应商须彻底清除其全部环境中的采购人原始数据，并向采购人提交书面数据清除确认报告。质保期内，供应商最多可保留一份经采购人同意的脱敏测试数据集，仅限运维和缺陷排查使用，质保期满后一并清除。</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23.2 交付成果知识产权归属</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本项目全部交付成果（包括但不限于源代码、脚本、部署包、数据库、三维模型、AI数据集、清洗规则、数据字典、接口成果、设计及技术文档等）的 全部著作财产权 自交付之日起永久、无偿、不可撤销地归采购人独家所有。供应商放弃主张除署名权外的任何著</w:t>
      </w:r>
      <w:r>
        <w:rPr>
          <w:rFonts w:hint="eastAsia" w:ascii="宋体" w:hAnsi="宋体" w:eastAsia="宋体" w:cs="宋体"/>
          <w:color w:val="auto"/>
          <w:sz w:val="24"/>
          <w:szCs w:val="24"/>
          <w:lang w:eastAsia="zh-CN"/>
        </w:rPr>
        <w:t xml:space="preserve">作权</w:t>
      </w:r>
      <w:r>
        <w:rPr>
          <w:rFonts w:hint="eastAsia" w:ascii="宋体" w:hAnsi="宋体" w:eastAsia="宋体" w:cs="宋体"/>
          <w:color w:val="auto"/>
          <w:sz w:val="24"/>
          <w:szCs w:val="24"/>
        </w:rPr>
        <w:t xml:space="preserve">人身权。供应商行使署名权时，须经采购人书面同意标注位置和方式，不得在系统界面页面、三维模型或交付成果中添加商业标识或水印。</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源代码交付须满足以下要求：可完整构建、包含构建/部署脚本、包含必要的技术注释、交付第三方依赖清单（含版本号及许可证类型）。所有交付物须为原始可编辑格式，不得加密、混淆或仅提供编译后文件。</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23.3 通用框架的认定与处理</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供应商如主张保留某项技术成果为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通用底层开发框架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，须在响应文件中列明 框架名称、版本及在本项目中的使用方式，经采购人书面确认后作为合同附件。未在投标阶段列明或履约过程中产生的技术成果，均视为定制程序归采购人所有。</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经确认的通用框架，供应商保留著作权，但须授予采购人及其上级主管单位永久、免费、不可撤销的使用权（含复制、修改、二次开发及与其他系统集成使用的权利）。</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23.4 第三方知识产权保证</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供应商承诺本项目使用的全部第三方软件已</w:t>
      </w:r>
      <w:r>
        <w:rPr>
          <w:rFonts w:hint="eastAsia" w:ascii="宋体" w:hAnsi="宋体" w:eastAsia="宋体" w:cs="宋体"/>
          <w:color w:val="auto"/>
          <w:sz w:val="24"/>
          <w:szCs w:val="24"/>
          <w:lang w:eastAsia="zh-CN"/>
        </w:rPr>
        <w:t xml:space="preserve">获得</w:t>
      </w:r>
      <w:r>
        <w:rPr>
          <w:rFonts w:hint="eastAsia" w:ascii="宋体" w:hAnsi="宋体" w:eastAsia="宋体" w:cs="宋体"/>
          <w:color w:val="auto"/>
          <w:sz w:val="24"/>
          <w:szCs w:val="24"/>
        </w:rPr>
        <w:t xml:space="preserve">合法、有效、永久的授权，不存在知识产权瑕疵。若引发第三方侵权诉讼，供应商承担全部费用（包括但不限于诉讼费、律师费、赔偿金及采购人因此支出的其他费用），并在收到侵权通知后15日内免费替换为合规组件，工期不予顺延。逾期未替换的，采购人有权自行采购替代方案，费用由供应商承担。</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23.5 违约追责</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供应商有下列情形之一的，构成严重违约：</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擅自留存、复制、外泄或以任何方式向第三方提供采购人原始数据；</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以交付成果知识产权为由限制采购人正常使用；</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投标阶段未如实披露通用框架使用情况；</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使用的第三方组件存在知识产权瑕疵且拒绝按约定履行替换义务。</w:t>
      </w:r>
      <w:r/>
    </w:p>
    <w:p>
      <w:pPr>
        <w:ind w:firstLine="420"/>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发生上述违约情形的，采购人有权扣除全部履约保证金、单方解除合同、追偿全部经济损失，将供应商列入采购人供应商不良行为记录名单</w:t>
      </w:r>
      <w:r>
        <w:rPr>
          <w:rFonts w:hint="eastAsia" w:ascii="宋体" w:hAnsi="宋体" w:eastAsia="宋体" w:cs="宋体"/>
          <w:color w:val="auto"/>
          <w:sz w:val="24"/>
          <w:szCs w:val="24"/>
          <w:lang w:eastAsia="zh-CN"/>
        </w:rPr>
        <w:t xml:space="preserve">，在</w:t>
      </w:r>
      <w:r>
        <w:rPr>
          <w:rFonts w:hint="eastAsia" w:ascii="宋体" w:hAnsi="宋体" w:eastAsia="宋体" w:cs="宋体"/>
          <w:color w:val="auto"/>
          <w:sz w:val="24"/>
          <w:szCs w:val="24"/>
        </w:rPr>
        <w:t xml:space="preserve">一定期限内拒绝其参与采购人后续采购活动，并向同级财政部门如实报告，依法依规申请将其纳入政府采购严重违法失信行为记录名单。</w:t>
      </w:r>
      <w:r/>
    </w:p>
    <w:p>
      <w:pPr>
        <w:ind w:firstLine="42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24.合同未尽事项</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r/>
    </w:p>
    <w:p>
      <w:pPr>
        <w:jc w:val="center"/>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第三节 政府采购合同专用条款</w:t>
      </w:r>
      <w:r/>
    </w:p>
    <w:tbl>
      <w:tblPr>
        <w:tblStyle w:val="807"/>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货物质量缺陷</w:t>
            </w:r>
            <w:r/>
          </w:p>
          <w:p>
            <w:pPr>
              <w:jc w:val="left"/>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修理、重</w:t>
            </w:r>
            <w:r>
              <w:rPr>
                <w:rFonts w:hint="eastAsia" w:ascii="宋体" w:hAnsi="宋体" w:eastAsia="宋体" w:cs="宋体"/>
                <w:sz w:val="24"/>
                <w:szCs w:val="24"/>
                <w:lang w:eastAsia="zh-CN"/>
              </w:rPr>
              <w:t xml:space="preserve">做</w:t>
            </w:r>
            <w:r>
              <w:rPr>
                <w:rFonts w:hint="eastAsia" w:ascii="宋体" w:hAnsi="宋体" w:eastAsia="宋体" w:cs="宋体"/>
                <w:sz w:val="24"/>
                <w:szCs w:val="24"/>
              </w:rPr>
              <w:t xml:space="preserve">、更换相关具体规定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因本合同及合同有关事项发生的争议，按下列第</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种方式解决：</w:t>
            </w:r>
            <w:r/>
          </w:p>
          <w:p>
            <w:pPr>
              <w:jc w:val="left"/>
              <w:spacing w:line="400" w:lineRule="exact"/>
              <w:rPr>
                <w:rFonts w:hint="eastAsia" w:ascii="宋体" w:hAnsi="宋体" w:eastAsia="宋体" w:cs="宋体"/>
                <w:iCs/>
                <w:sz w:val="24"/>
                <w:szCs w:val="24"/>
              </w:rPr>
            </w:pPr>
            <w:r>
              <w:rPr>
                <w:rFonts w:hint="eastAsia" w:ascii="宋体" w:hAnsi="宋体" w:eastAsia="宋体" w:cs="宋体"/>
                <w:iCs/>
                <w:sz w:val="24"/>
                <w:szCs w:val="24"/>
              </w:rPr>
              <w:t xml:space="preserve">（1）向</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仲裁委员会申请仲裁，仲裁地点为</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w:t>
            </w:r>
            <w:r/>
          </w:p>
          <w:p>
            <w:pPr>
              <w:jc w:val="left"/>
              <w:rPr>
                <w:rFonts w:hint="eastAsia" w:ascii="宋体" w:hAnsi="宋体" w:eastAsia="宋体" w:cs="宋体"/>
                <w:sz w:val="24"/>
                <w:szCs w:val="24"/>
                <w:u w:val="single"/>
              </w:rPr>
            </w:pPr>
            <w:r>
              <w:rPr>
                <w:rFonts w:hint="eastAsia" w:ascii="宋体" w:hAnsi="宋体" w:eastAsia="宋体" w:cs="宋体"/>
                <w:iCs/>
                <w:sz w:val="24"/>
                <w:szCs w:val="24"/>
              </w:rPr>
              <w:t xml:space="preserve">（2）向</w:t>
            </w:r>
            <w:r>
              <w:rPr>
                <w:rFonts w:hint="eastAsia" w:ascii="宋体" w:hAnsi="宋体" w:eastAsia="宋体" w:cs="宋体"/>
                <w:iCs/>
                <w:sz w:val="24"/>
                <w:szCs w:val="24"/>
                <w:u w:val="single"/>
              </w:rPr>
              <w:t xml:space="preserve">                    </w:t>
            </w:r>
            <w:r>
              <w:rPr>
                <w:rFonts w:hint="eastAsia" w:ascii="宋体" w:hAnsi="宋体" w:eastAsia="宋体" w:cs="宋体"/>
                <w:iCs/>
                <w:sz w:val="24"/>
                <w:szCs w:val="24"/>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bCs/>
                <w:sz w:val="24"/>
                <w:szCs w:val="24"/>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b/>
          <w:sz w:val="24"/>
          <w:szCs w:val="24"/>
        </w:rPr>
      </w:pPr>
      <w:r>
        <w:rPr>
          <w:rFonts w:hint="eastAsia" w:ascii="宋体" w:hAnsi="宋体" w:eastAsia="宋体" w:cs="宋体"/>
          <w:b/>
          <w:sz w:val="24"/>
          <w:szCs w:val="24"/>
        </w:rPr>
      </w:r>
      <w:r/>
    </w:p>
    <w:p>
      <w:pPr>
        <w:rPr>
          <w:rFonts w:hint="eastAsia" w:ascii="宋体" w:hAnsi="宋体" w:eastAsia="宋体" w:cs="宋体"/>
          <w:color w:val="000000"/>
          <w:sz w:val="24"/>
        </w:rPr>
      </w:pPr>
      <w:r>
        <w:rPr>
          <w:rFonts w:hint="eastAsia" w:ascii="宋体" w:hAnsi="宋体" w:eastAsia="宋体" w:cs="宋体"/>
          <w:color w:val="000000"/>
          <w:sz w:val="24"/>
        </w:rPr>
        <w:br w:type="page" w:clear="all"/>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r>
      <w:r/>
    </w:p>
    <w:p>
      <w:pPr>
        <w:jc w:val="center"/>
        <w:spacing w:line="500" w:lineRule="exact"/>
        <w:rPr>
          <w:rFonts w:hint="eastAsia" w:ascii="宋体" w:hAnsi="宋体" w:eastAsia="宋体" w:cs="宋体"/>
          <w:b/>
          <w:sz w:val="44"/>
          <w:szCs w:val="44"/>
        </w:rPr>
        <w:outlineLvl w:val="0"/>
      </w:pPr>
      <w:r>
        <w:rPr>
          <w:rFonts w:hint="eastAsia" w:ascii="宋体" w:hAnsi="宋体" w:eastAsia="宋体" w:cs="宋体"/>
          <w:b/>
          <w:sz w:val="44"/>
          <w:szCs w:val="44"/>
        </w:rPr>
        <w:t xml:space="preserve">第六章  响应文件格式</w:t>
      </w:r>
      <w:bookmarkEnd w:id="102"/>
      <w:r/>
      <w:bookmarkEnd w:id="116"/>
      <w:r/>
      <w:bookmarkEnd w:id="117"/>
      <w:r/>
      <w:bookmarkStart w:id="122" w:name="_Hlt26955039"/>
      <w:r/>
      <w:bookmarkEnd w:id="122"/>
      <w:r/>
      <w:bookmarkStart w:id="123" w:name="_Hlt26671244"/>
      <w:r/>
      <w:bookmarkEnd w:id="123"/>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t xml:space="preserve">响  应  文  件</w:t>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供应商名称 ：</w:t>
      </w:r>
      <w:r>
        <w:rPr>
          <w:rFonts w:hint="eastAsia" w:ascii="宋体" w:hAnsi="宋体" w:eastAsia="宋体" w:cs="宋体"/>
          <w:b/>
          <w:sz w:val="36"/>
          <w:u w:val="single"/>
        </w:rPr>
        <w:t xml:space="preserve">（盖CA电子公章）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eastAsia="宋体" w:cs="宋体"/>
          <w:b/>
          <w:bCs/>
          <w:sz w:val="32"/>
          <w:szCs w:val="32"/>
        </w:rPr>
      </w:pPr>
      <w:r>
        <w:rPr>
          <w:rFonts w:hint="eastAsia" w:ascii="宋体" w:hAnsi="宋体" w:eastAsia="宋体" w:cs="宋体"/>
        </w:rPr>
        <w:br w:type="page" w:clear="all"/>
      </w:r>
      <w:r>
        <w:rPr>
          <w:rFonts w:hint="eastAsia" w:ascii="宋体" w:hAnsi="宋体" w:eastAsia="宋体" w:cs="宋体"/>
          <w:b/>
          <w:sz w:val="44"/>
          <w:szCs w:val="44"/>
        </w:rPr>
        <w:t xml:space="preserve">响应文件目录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443"/>
        <w:spacing w:line="360" w:lineRule="auto"/>
        <w:rPr>
          <w:rFonts w:hint="eastAsia" w:ascii="宋体" w:hAnsi="宋体" w:eastAsia="宋体" w:cs="宋体"/>
          <w:sz w:val="28"/>
          <w:szCs w:val="28"/>
        </w:rPr>
      </w:pPr>
      <w:r>
        <w:rPr>
          <w:rFonts w:hint="eastAsia" w:ascii="宋体" w:hAnsi="宋体" w:eastAsia="宋体" w:cs="宋体"/>
          <w:sz w:val="28"/>
          <w:szCs w:val="28"/>
        </w:rPr>
      </w:r>
      <w:r/>
    </w:p>
    <w:p>
      <w:pPr>
        <w:numPr>
          <w:ilvl w:val="0"/>
          <w:numId w:val="0"/>
        </w:numPr>
        <w:spacing w:line="360" w:lineRule="auto"/>
        <w:rPr>
          <w:rFonts w:hint="eastAsia" w:ascii="宋体" w:hAnsi="宋体" w:cs="宋体"/>
          <w:sz w:val="28"/>
          <w:szCs w:val="28"/>
          <w:lang w:val="en-US" w:eastAsia="zh-CN"/>
        </w:rPr>
      </w:pPr>
      <w:r>
        <w:rPr>
          <w:rFonts w:hint="eastAsia" w:ascii="宋体" w:hAnsi="宋体" w:eastAsia="宋体" w:cs="宋体"/>
          <w:sz w:val="28"/>
          <w:szCs w:val="28"/>
          <w:lang w:val="en-US" w:eastAsia="zh-CN" w:bidi="ar-SA"/>
        </w:rPr>
        <w:t xml:space="preserve">一、</w:t>
      </w:r>
      <w:r>
        <w:rPr>
          <w:rFonts w:hint="eastAsia" w:ascii="宋体" w:hAnsi="宋体" w:cs="宋体"/>
          <w:sz w:val="28"/>
          <w:szCs w:val="28"/>
          <w:lang w:val="en-US" w:eastAsia="zh-CN"/>
        </w:rPr>
        <w:t xml:space="preserve">磋商申请及声明</w:t>
      </w:r>
      <w:r/>
    </w:p>
    <w:p>
      <w:pPr>
        <w:numPr>
          <w:ilvl w:val="0"/>
          <w:numId w:val="0"/>
        </w:numPr>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二、供应商基本信息</w:t>
      </w:r>
      <w:r/>
    </w:p>
    <w:p>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三、法人或其他组织的营业执照、税务登记证等证明文件</w:t>
      </w:r>
      <w:r/>
    </w:p>
    <w:p>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四、2025年度的财务状况报告</w:t>
      </w:r>
      <w:r/>
    </w:p>
    <w:p>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五、依法缴纳税收和社会保障资金的相关材料</w:t>
      </w:r>
      <w:r/>
    </w:p>
    <w:p>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六、具备履行合同所必需的设备和专业技术能力的声明</w:t>
      </w:r>
      <w:r/>
    </w:p>
    <w:p>
      <w:pPr>
        <w:numPr>
          <w:ilvl w:val="0"/>
          <w:numId w:val="0"/>
        </w:numPr>
        <w:spacing w:line="36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七、参加政府采购活动前3年内在经营活动中没有重大违法记录的书面声明</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八</w:t>
      </w:r>
      <w:r>
        <w:rPr>
          <w:rFonts w:hint="eastAsia" w:ascii="宋体" w:hAnsi="宋体" w:eastAsia="宋体" w:cs="宋体"/>
          <w:sz w:val="28"/>
          <w:szCs w:val="28"/>
        </w:rPr>
        <w:t xml:space="preserve">、法人授权书</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九</w:t>
      </w:r>
      <w:r>
        <w:rPr>
          <w:rFonts w:hint="eastAsia" w:ascii="宋体" w:hAnsi="宋体" w:eastAsia="宋体" w:cs="宋体"/>
          <w:sz w:val="28"/>
          <w:szCs w:val="28"/>
        </w:rPr>
        <w:t xml:space="preserve">、开标一览表</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十</w:t>
      </w:r>
      <w:r>
        <w:rPr>
          <w:rFonts w:hint="eastAsia" w:ascii="宋体" w:hAnsi="宋体" w:eastAsia="宋体" w:cs="宋体"/>
          <w:sz w:val="28"/>
          <w:szCs w:val="28"/>
        </w:rPr>
        <w:t xml:space="preserve">、分项报价表</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十一</w:t>
      </w:r>
      <w:r>
        <w:rPr>
          <w:rFonts w:hint="eastAsia" w:ascii="宋体" w:hAnsi="宋体" w:eastAsia="宋体" w:cs="宋体"/>
          <w:sz w:val="28"/>
          <w:szCs w:val="28"/>
        </w:rPr>
        <w:t xml:space="preserve">、中小企业或残疾人福利性单位声明函</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十二</w:t>
      </w:r>
      <w:r>
        <w:rPr>
          <w:rFonts w:hint="eastAsia" w:ascii="宋体" w:hAnsi="宋体" w:eastAsia="宋体" w:cs="宋体"/>
          <w:sz w:val="28"/>
          <w:szCs w:val="28"/>
        </w:rPr>
        <w:t xml:space="preserve">、关于符合本国产品标准的声明函</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十三</w:t>
      </w:r>
      <w:r>
        <w:rPr>
          <w:rFonts w:hint="eastAsia" w:ascii="宋体" w:hAnsi="宋体" w:eastAsia="宋体" w:cs="宋体"/>
          <w:sz w:val="28"/>
          <w:szCs w:val="28"/>
        </w:rPr>
        <w:t xml:space="preserve">、技术响应偏离表</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十四</w:t>
      </w:r>
      <w:r>
        <w:rPr>
          <w:rFonts w:hint="eastAsia" w:ascii="宋体" w:hAnsi="宋体" w:eastAsia="宋体" w:cs="宋体"/>
          <w:sz w:val="28"/>
          <w:szCs w:val="28"/>
        </w:rPr>
        <w:t xml:space="preserve">、企业业绩</w:t>
      </w:r>
      <w:r/>
    </w:p>
    <w:p>
      <w:pPr>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十五、项目实施方案</w:t>
      </w:r>
      <w:r/>
    </w:p>
    <w:p>
      <w:pPr>
        <w:spacing w:line="360" w:lineRule="auto"/>
        <w:rPr>
          <w:rFonts w:hint="eastAsia" w:ascii="宋体" w:hAnsi="宋体" w:cs="宋体"/>
          <w:sz w:val="28"/>
          <w:szCs w:val="28"/>
          <w:lang w:val="en-US" w:eastAsia="zh-CN"/>
        </w:rPr>
      </w:pPr>
      <w:r>
        <w:rPr>
          <w:rFonts w:hint="eastAsia" w:ascii="宋体" w:hAnsi="宋体" w:cs="宋体"/>
          <w:sz w:val="28"/>
          <w:szCs w:val="28"/>
          <w:lang w:val="en-US" w:eastAsia="zh-CN"/>
        </w:rPr>
        <w:t xml:space="preserve">十六、项目组成员</w:t>
      </w:r>
      <w:r/>
    </w:p>
    <w:p>
      <w:pPr>
        <w:spacing w:line="360" w:lineRule="auto"/>
        <w:rPr>
          <w:rFonts w:hint="eastAsia" w:ascii="宋体" w:hAnsi="宋体" w:eastAsia="宋体" w:cs="宋体"/>
          <w:sz w:val="28"/>
          <w:szCs w:val="28"/>
        </w:rPr>
      </w:pPr>
      <w:r>
        <w:rPr>
          <w:rFonts w:hint="eastAsia" w:ascii="宋体" w:hAnsi="宋体" w:cs="宋体"/>
          <w:sz w:val="28"/>
          <w:szCs w:val="28"/>
          <w:lang w:val="en-US" w:eastAsia="zh-CN"/>
        </w:rPr>
        <w:t xml:space="preserve">十七</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所需其他材料</w:t>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ind w:firstLine="480"/>
        <w:spacing w:line="440" w:lineRule="exact"/>
        <w:rPr>
          <w:rFonts w:hint="eastAsia" w:ascii="宋体" w:hAnsi="宋体" w:eastAsia="宋体" w:cs="宋体"/>
          <w:sz w:val="24"/>
          <w:szCs w:val="21"/>
        </w:rPr>
      </w:pPr>
      <w:r>
        <w:rPr>
          <w:rFonts w:hint="eastAsia" w:ascii="宋体" w:hAnsi="宋体" w:eastAsia="宋体" w:cs="宋体"/>
          <w:sz w:val="24"/>
          <w:szCs w:val="21"/>
        </w:rPr>
      </w:r>
      <w:r/>
    </w:p>
    <w:p>
      <w:pPr>
        <w:pStyle w:val="1396"/>
        <w:jc w:val="both"/>
        <w:rPr>
          <w:rFonts w:hint="eastAsia" w:ascii="宋体" w:hAnsi="宋体" w:eastAsia="宋体" w:cs="宋体"/>
          <w:szCs w:val="32"/>
        </w:rPr>
      </w:pPr>
      <w:r>
        <w:rPr>
          <w:rFonts w:hint="eastAsia" w:ascii="宋体" w:hAnsi="宋体" w:eastAsia="宋体" w:cs="宋体"/>
        </w:rPr>
        <w:t xml:space="preserve">一、</w:t>
      </w:r>
      <w:r>
        <w:rPr>
          <w:rFonts w:ascii="Times New Roman" w:hAnsi="Times New Roman"/>
          <w:iCs/>
          <w:szCs w:val="32"/>
        </w:rPr>
        <w:t xml:space="preserve">磋商申请及声明</w:t>
      </w:r>
      <w:r/>
    </w:p>
    <w:p>
      <w:pPr>
        <w:pStyle w:val="1396"/>
        <w:rPr>
          <w:rFonts w:hint="eastAsia" w:ascii="宋体" w:hAnsi="宋体" w:eastAsia="宋体" w:cs="宋体"/>
          <w:bCs/>
          <w:szCs w:val="32"/>
        </w:rPr>
      </w:pPr>
      <w:r>
        <w:rPr>
          <w:rFonts w:hint="eastAsia" w:ascii="宋体" w:hAnsi="宋体" w:eastAsia="宋体" w:cs="宋体"/>
          <w:bCs/>
          <w:szCs w:val="32"/>
        </w:rPr>
      </w:r>
      <w:r/>
    </w:p>
    <w:p>
      <w:pPr>
        <w:pStyle w:val="1391"/>
        <w:jc w:val="center"/>
        <w:spacing w:line="360" w:lineRule="auto"/>
        <w:rPr>
          <w:rFonts w:hint="eastAsia" w:ascii="宋体" w:hAnsi="宋体" w:eastAsia="宋体" w:cs="宋体"/>
          <w:bCs/>
          <w:sz w:val="32"/>
          <w:szCs w:val="24"/>
        </w:rPr>
      </w:pPr>
      <w:r>
        <w:rPr>
          <w:rFonts w:hint="eastAsia" w:ascii="宋体" w:hAnsi="宋体" w:eastAsia="宋体" w:cs="宋体"/>
          <w:bCs/>
          <w:sz w:val="32"/>
          <w:szCs w:val="24"/>
        </w:rPr>
        <w:t xml:space="preserve">响应声明及承诺函</w:t>
      </w:r>
      <w:r/>
    </w:p>
    <w:p>
      <w:pPr>
        <w:pStyle w:val="1391"/>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项目的竞争性磋商文件，我单位在参加本项目竞争性磋商活动中，特做出如下承诺：</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一、我方</w:t>
      </w:r>
      <w:r>
        <w:rPr>
          <w:rFonts w:hint="eastAsia" w:ascii="宋体" w:hAnsi="宋体" w:eastAsia="宋体" w:cs="宋体"/>
          <w:sz w:val="24"/>
        </w:rPr>
        <w:t xml:space="preserve">具备《中华人民共和国政府采购法》第二十二条第一款规定的6项条件；</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三、我方按磋商文件要求提交响应文件，响应磋商文件规定的响应有效期；</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四、如果我方的响应文件被接受，我方将按《中华人民共和国民法典（第三编合同） 》及其他有关</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的规定，按期、按质、按量交付采购单位，全面做到履约守信；</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391"/>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391"/>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Times New Roman" w:hAnsi="Times New Roman"/>
          <w:iCs/>
          <w:szCs w:val="32"/>
        </w:rPr>
      </w:pPr>
      <w:r/>
      <w:bookmarkStart w:id="124" w:name="_Toc160457397"/>
      <w:r/>
      <w:bookmarkStart w:id="125" w:name="_Toc29506"/>
      <w:r/>
      <w:bookmarkStart w:id="126" w:name="_Toc3680"/>
      <w:r/>
      <w:bookmarkStart w:id="127" w:name="_Toc27409"/>
      <w:r>
        <w:rPr>
          <w:rFonts w:hint="eastAsia" w:ascii="Times New Roman" w:hAnsi="Times New Roman"/>
          <w:iCs/>
          <w:szCs w:val="32"/>
        </w:rPr>
        <w:br w:type="page" w:clear="all"/>
      </w:r>
      <w:r/>
    </w:p>
    <w:p>
      <w:pPr>
        <w:pStyle w:val="1394"/>
        <w:outlineLvl w:val="1"/>
      </w:pPr>
      <w:r>
        <w:rPr>
          <w:rFonts w:hint="eastAsia" w:ascii="Times New Roman" w:hAnsi="Times New Roman"/>
          <w:iCs/>
          <w:szCs w:val="32"/>
        </w:rPr>
        <w:t xml:space="preserve">二</w:t>
      </w:r>
      <w:r>
        <w:t xml:space="preserve">、供应商基本信息</w:t>
      </w:r>
      <w:bookmarkEnd w:id="124"/>
      <w:r/>
      <w:r/>
    </w:p>
    <w:p>
      <w:pPr>
        <w:pStyle w:val="1395"/>
        <w:jc w:val="center"/>
        <w:rPr>
          <w:rFonts w:hint="eastAsia" w:ascii="宋体" w:hAnsi="宋体" w:cs="宋体"/>
          <w:sz w:val="32"/>
          <w:szCs w:val="24"/>
        </w:rPr>
      </w:pPr>
      <w:r>
        <w:rPr>
          <w:rFonts w:hint="eastAsia" w:ascii="宋体" w:hAnsi="宋体" w:cs="宋体"/>
          <w:sz w:val="32"/>
          <w:szCs w:val="24"/>
        </w:rPr>
      </w:r>
      <w:r/>
    </w:p>
    <w:p>
      <w:pPr>
        <w:pStyle w:val="1395"/>
        <w:jc w:val="center"/>
        <w:rPr>
          <w:rFonts w:hint="eastAsia" w:ascii="宋体" w:hAnsi="宋体" w:cs="宋体"/>
          <w:sz w:val="32"/>
          <w:szCs w:val="24"/>
        </w:rPr>
      </w:pPr>
      <w:r>
        <w:rPr>
          <w:rFonts w:hint="eastAsia" w:ascii="宋体" w:hAnsi="宋体" w:cs="宋体"/>
          <w:sz w:val="32"/>
          <w:szCs w:val="24"/>
        </w:rPr>
      </w:r>
      <w:r/>
    </w:p>
    <w:p>
      <w:pPr>
        <w:pStyle w:val="1395"/>
        <w:jc w:val="center"/>
        <w:rPr>
          <w:rFonts w:ascii="宋体" w:hAnsi="宋体" w:cs="宋体"/>
          <w:sz w:val="32"/>
          <w:szCs w:val="24"/>
        </w:rPr>
      </w:pPr>
      <w:r>
        <w:rPr>
          <w:rFonts w:hint="eastAsia" w:ascii="宋体" w:hAnsi="宋体" w:cs="宋体"/>
          <w:sz w:val="32"/>
          <w:szCs w:val="24"/>
        </w:rPr>
        <w:t xml:space="preserve">供应商基本情况表</w:t>
      </w:r>
      <w:r/>
    </w:p>
    <w:tbl>
      <w:tblPr>
        <w:tblStyle w:val="807"/>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供应商名称</w:t>
            </w:r>
            <w:r/>
          </w:p>
        </w:tc>
        <w:tc>
          <w:tcPr>
            <w:gridSpan w:val="3"/>
            <w:tcW w:w="699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法定代表人</w:t>
            </w:r>
            <w:r/>
          </w:p>
        </w:tc>
        <w:tc>
          <w:tcPr>
            <w:tcW w:w="311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注册地区</w:t>
            </w:r>
            <w:r/>
          </w:p>
        </w:tc>
        <w:tc>
          <w:tcPr>
            <w:tcW w:w="2604"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地址</w:t>
            </w:r>
            <w:r/>
          </w:p>
        </w:tc>
        <w:tc>
          <w:tcPr>
            <w:tcW w:w="311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邮政编码</w:t>
            </w:r>
            <w:r/>
          </w:p>
        </w:tc>
        <w:tc>
          <w:tcPr>
            <w:tcW w:w="2604"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成立时间</w:t>
            </w:r>
            <w:r/>
          </w:p>
        </w:tc>
        <w:tc>
          <w:tcPr>
            <w:tcW w:w="311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单位性质</w:t>
            </w:r>
            <w:r/>
          </w:p>
        </w:tc>
        <w:tc>
          <w:tcPr>
            <w:tcW w:w="2604"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注册号或社会信用代码</w:t>
            </w:r>
            <w:r/>
          </w:p>
        </w:tc>
        <w:tc>
          <w:tcPr>
            <w:tcW w:w="311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注册资本（万元）</w:t>
            </w:r>
            <w:r/>
          </w:p>
        </w:tc>
        <w:tc>
          <w:tcPr>
            <w:tcW w:w="2604"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供应商类别</w:t>
            </w:r>
            <w:r/>
          </w:p>
        </w:tc>
        <w:tc>
          <w:tcPr>
            <w:gridSpan w:val="3"/>
            <w:tcW w:w="699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开户银行</w:t>
            </w:r>
            <w:r/>
          </w:p>
        </w:tc>
        <w:tc>
          <w:tcPr>
            <w:tcW w:w="311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账号</w:t>
            </w:r>
            <w:r/>
          </w:p>
        </w:tc>
        <w:tc>
          <w:tcPr>
            <w:tcW w:w="2604"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Pr>
        <w:tc>
          <w:tcPr>
            <w:tcW w:w="152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联系人</w:t>
            </w:r>
            <w:r/>
          </w:p>
        </w:tc>
        <w:tc>
          <w:tcPr>
            <w:tcW w:w="3118"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c>
          <w:tcPr>
            <w:tcW w:w="1276" w:type="dxa"/>
            <w:vAlign w:val="center"/>
            <w:textDirection w:val="lrTb"/>
            <w:noWrap w:val="false"/>
          </w:tcPr>
          <w:p>
            <w:pPr>
              <w:pStyle w:val="1395"/>
              <w:jc w:val="center"/>
              <w:spacing w:line="600" w:lineRule="exact"/>
              <w:rPr>
                <w:rFonts w:ascii="宋体" w:hAnsi="宋体" w:cs="宋体"/>
                <w:color w:val="000000"/>
                <w:sz w:val="24"/>
                <w:szCs w:val="24"/>
              </w:rPr>
            </w:pPr>
            <w:r>
              <w:rPr>
                <w:rFonts w:hint="eastAsia" w:ascii="宋体" w:hAnsi="宋体" w:cs="宋体"/>
                <w:color w:val="000000"/>
                <w:sz w:val="24"/>
                <w:szCs w:val="24"/>
              </w:rPr>
              <w:t xml:space="preserve">联系电话</w:t>
            </w:r>
            <w:r/>
          </w:p>
        </w:tc>
        <w:tc>
          <w:tcPr>
            <w:tcW w:w="2604" w:type="dxa"/>
            <w:vAlign w:val="center"/>
            <w:textDirection w:val="lrTb"/>
            <w:noWrap w:val="false"/>
          </w:tcPr>
          <w:p>
            <w:pPr>
              <w:pStyle w:val="1395"/>
              <w:jc w:val="center"/>
              <w:spacing w:line="600" w:lineRule="exact"/>
              <w:rPr>
                <w:rFonts w:ascii="宋体" w:hAnsi="宋体" w:cs="宋体"/>
                <w:color w:val="000000"/>
                <w:sz w:val="24"/>
                <w:szCs w:val="24"/>
              </w:rPr>
            </w:pPr>
            <w:r>
              <w:rPr>
                <w:rFonts w:ascii="宋体" w:hAnsi="宋体" w:cs="宋体"/>
                <w:color w:val="000000"/>
                <w:sz w:val="24"/>
                <w:szCs w:val="24"/>
              </w:rPr>
            </w:r>
            <w:r/>
          </w:p>
        </w:tc>
      </w:tr>
      <w:tr>
        <w:trPr>
          <w:jc w:val="center"/>
          <w:trHeight w:val="2376"/>
        </w:trPr>
        <w:tc>
          <w:tcPr>
            <w:tcW w:w="1526" w:type="dxa"/>
            <w:vAlign w:val="center"/>
            <w:textDirection w:val="lrTb"/>
            <w:noWrap w:val="false"/>
          </w:tcPr>
          <w:p>
            <w:pPr>
              <w:pStyle w:val="1395"/>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经营范围</w:t>
            </w:r>
            <w:r/>
          </w:p>
        </w:tc>
        <w:tc>
          <w:tcPr>
            <w:gridSpan w:val="3"/>
            <w:tcW w:w="6998" w:type="dxa"/>
            <w:vAlign w:val="center"/>
            <w:textDirection w:val="lrTb"/>
            <w:noWrap w:val="false"/>
          </w:tcPr>
          <w:p>
            <w:pPr>
              <w:pStyle w:val="1395"/>
              <w:ind w:firstLine="1433"/>
              <w:spacing w:line="560" w:lineRule="exact"/>
              <w:rPr>
                <w:rFonts w:ascii="宋体" w:hAnsi="宋体" w:cs="宋体"/>
                <w:color w:val="000000"/>
                <w:sz w:val="24"/>
                <w:szCs w:val="24"/>
              </w:rPr>
            </w:pPr>
            <w:r>
              <w:rPr>
                <w:rFonts w:ascii="宋体" w:hAnsi="宋体" w:cs="宋体"/>
                <w:color w:val="000000"/>
                <w:sz w:val="24"/>
                <w:szCs w:val="24"/>
              </w:rPr>
            </w:r>
            <w:r/>
          </w:p>
        </w:tc>
      </w:tr>
      <w:tr>
        <w:trPr>
          <w:jc w:val="center"/>
          <w:trHeight w:val="1134"/>
        </w:trPr>
        <w:tc>
          <w:tcPr>
            <w:tcW w:w="1526" w:type="dxa"/>
            <w:vAlign w:val="center"/>
            <w:textDirection w:val="lrTb"/>
            <w:noWrap w:val="false"/>
          </w:tcPr>
          <w:p>
            <w:pPr>
              <w:pStyle w:val="1395"/>
              <w:jc w:val="center"/>
              <w:spacing w:line="560" w:lineRule="exact"/>
              <w:rPr>
                <w:rFonts w:ascii="宋体" w:hAnsi="宋体" w:cs="宋体"/>
                <w:color w:val="000000"/>
                <w:sz w:val="24"/>
                <w:szCs w:val="24"/>
              </w:rPr>
            </w:pPr>
            <w:r>
              <w:rPr>
                <w:rFonts w:hint="eastAsia" w:ascii="宋体" w:hAnsi="宋体" w:cs="宋体"/>
                <w:color w:val="000000"/>
                <w:sz w:val="24"/>
                <w:szCs w:val="24"/>
              </w:rPr>
              <w:t xml:space="preserve">备注</w:t>
            </w:r>
            <w:r/>
          </w:p>
        </w:tc>
        <w:tc>
          <w:tcPr>
            <w:gridSpan w:val="3"/>
            <w:tcW w:w="6998" w:type="dxa"/>
            <w:vAlign w:val="center"/>
            <w:textDirection w:val="lrTb"/>
            <w:noWrap w:val="false"/>
          </w:tcPr>
          <w:p>
            <w:pPr>
              <w:pStyle w:val="1395"/>
              <w:jc w:val="center"/>
              <w:spacing w:line="500" w:lineRule="exact"/>
              <w:rPr>
                <w:rFonts w:ascii="宋体" w:hAnsi="宋体" w:cs="宋体"/>
                <w:color w:val="000000"/>
                <w:sz w:val="24"/>
                <w:szCs w:val="24"/>
              </w:rPr>
            </w:pPr>
            <w:r>
              <w:rPr>
                <w:rFonts w:ascii="宋体" w:hAnsi="宋体" w:cs="宋体"/>
                <w:color w:val="000000"/>
                <w:sz w:val="24"/>
                <w:szCs w:val="24"/>
              </w:rPr>
            </w:r>
            <w:r/>
          </w:p>
        </w:tc>
      </w:tr>
    </w:tbl>
    <w:p>
      <w:pPr>
        <w:pStyle w:val="1394"/>
        <w:rPr>
          <w:rFonts w:hint="eastAsia" w:ascii="宋体" w:hAnsi="宋体" w:eastAsia="宋体" w:cs="宋体"/>
          <w:color w:val="auto"/>
          <w:highlight w:val="none"/>
          <w:lang w:eastAsia="zh-CN"/>
        </w:rPr>
        <w:outlineLvl w:val="1"/>
      </w:pPr>
      <w:r>
        <w:rPr>
          <w:rFonts w:hint="eastAsia" w:ascii="宋体" w:hAnsi="宋体" w:eastAsia="宋体" w:cs="宋体"/>
          <w:bCs/>
          <w:sz w:val="32"/>
          <w:szCs w:val="24"/>
        </w:rPr>
        <w:br w:type="page" w:clear="all"/>
      </w:r>
      <w:bookmarkStart w:id="128" w:name="_Toc4179"/>
      <w:r>
        <w:rPr>
          <w:rFonts w:hint="eastAsia" w:ascii="Times New Roman" w:hAnsi="Times New Roman" w:eastAsia="宋体" w:cs="Times New Roman"/>
          <w:iCs/>
          <w:szCs w:val="32"/>
          <w:lang w:val="en-US" w:eastAsia="zh-CN"/>
        </w:rPr>
        <w:t xml:space="preserve">三</w:t>
      </w:r>
      <w:r>
        <w:rPr>
          <w:rFonts w:hint="eastAsia" w:ascii="Times New Roman" w:hAnsi="Times New Roman" w:cs="Times New Roman"/>
          <w:iCs/>
          <w:szCs w:val="32"/>
        </w:rPr>
        <w:t xml:space="preserve">、</w:t>
      </w:r>
      <w:r>
        <w:rPr>
          <w:rFonts w:hint="eastAsia" w:ascii="Times New Roman" w:hAnsi="Times New Roman" w:cs="Times New Roman"/>
          <w:iCs/>
          <w:szCs w:val="32"/>
          <w:lang w:eastAsia="zh-CN"/>
        </w:rPr>
        <w:t xml:space="preserve">法人或其他组织的营业执照、税务登记证等证明文件</w:t>
      </w:r>
      <w:bookmarkEnd w:id="128"/>
      <w:r/>
      <w:r/>
    </w:p>
    <w:p>
      <w:pPr>
        <w:pStyle w:val="1390"/>
        <w:rPr>
          <w:rFonts w:hint="eastAsia" w:ascii="宋体" w:hAnsi="宋体" w:eastAsia="宋体" w:cs="宋体"/>
          <w:b w:val="0"/>
          <w:bCs/>
          <w:color w:val="auto"/>
          <w:highlight w:val="none"/>
        </w:rPr>
        <w:outlineLvl w:val="1"/>
      </w:pPr>
      <w:r/>
      <w:bookmarkStart w:id="129" w:name="_Toc17629"/>
      <w:r>
        <w:rPr>
          <w:rFonts w:hint="eastAsia" w:ascii="Helvetica" w:hAnsi="Helvetica" w:eastAsia="宋体" w:cs="Helvetica"/>
          <w:b w:val="0"/>
          <w:bCs/>
          <w:i w:val="0"/>
          <w:iCs w:val="0"/>
          <w:caps w:val="0"/>
          <w:color w:val="auto"/>
          <w:spacing w:val="0"/>
          <w:sz w:val="27"/>
          <w:szCs w:val="27"/>
          <w:shd w:val="clear" w:color="auto" w:fill="ffffff"/>
          <w:lang w:eastAsia="zh-CN"/>
        </w:rPr>
        <w:t xml:space="preserve">（</w:t>
      </w:r>
      <w:r>
        <w:rPr>
          <w:rFonts w:ascii="Helvetica" w:hAnsi="Helvetica" w:eastAsia="Helvetica" w:cs="Helvetica"/>
          <w:b w:val="0"/>
          <w:bCs/>
          <w:i w:val="0"/>
          <w:iCs w:val="0"/>
          <w:caps w:val="0"/>
          <w:color w:val="auto"/>
          <w:spacing w:val="0"/>
          <w:sz w:val="27"/>
          <w:szCs w:val="27"/>
          <w:shd w:val="clear" w:color="auto" w:fill="ffffff"/>
        </w:rPr>
        <w:t xml:space="preserve">“三证合一”的提供“营业执照”，事业单位提供事业单位法人证书）</w:t>
      </w:r>
      <w:bookmarkEnd w:id="129"/>
      <w:r/>
      <w:r/>
    </w:p>
    <w:p>
      <w:pPr>
        <w:pStyle w:val="1394"/>
        <w:rPr>
          <w:rFonts w:hint="eastAsia" w:ascii="宋体" w:hAnsi="宋体" w:eastAsia="宋体" w:cs="宋体"/>
          <w:color w:val="auto"/>
          <w:highlight w:val="none"/>
          <w:lang w:eastAsia="zh-CN"/>
        </w:rPr>
        <w:outlineLvl w:val="1"/>
      </w:pPr>
      <w:r>
        <w:rPr>
          <w:rFonts w:hint="eastAsia" w:ascii="宋体" w:hAnsi="宋体" w:eastAsia="宋体" w:cs="宋体"/>
          <w:color w:val="auto"/>
          <w:highlight w:val="none"/>
        </w:rPr>
        <w:br w:type="page" w:clear="all"/>
      </w:r>
      <w:bookmarkStart w:id="130" w:name="_Toc12045"/>
      <w:r>
        <w:rPr>
          <w:rFonts w:hint="eastAsia" w:ascii="Times New Roman" w:hAnsi="Times New Roman" w:eastAsia="宋体" w:cs="Times New Roman"/>
          <w:iCs/>
          <w:szCs w:val="32"/>
          <w:lang w:val="en-US" w:eastAsia="zh-CN"/>
        </w:rPr>
        <w:t xml:space="preserve">四</w:t>
      </w:r>
      <w:r>
        <w:rPr>
          <w:rFonts w:hint="eastAsia" w:ascii="Times New Roman" w:hAnsi="Times New Roman" w:cs="Times New Roman"/>
          <w:iCs/>
          <w:szCs w:val="32"/>
        </w:rPr>
        <w:t xml:space="preserve">、</w:t>
      </w:r>
      <w:r>
        <w:rPr>
          <w:rFonts w:hint="eastAsia" w:ascii="Times New Roman" w:hAnsi="Times New Roman" w:cs="Times New Roman"/>
          <w:iCs/>
          <w:szCs w:val="32"/>
          <w:lang w:val="en-US" w:eastAsia="zh-CN"/>
        </w:rPr>
        <w:t xml:space="preserve">2025</w:t>
      </w:r>
      <w:r>
        <w:rPr>
          <w:rFonts w:hint="eastAsia" w:ascii="Times New Roman" w:hAnsi="Times New Roman" w:cs="Times New Roman"/>
          <w:iCs/>
          <w:szCs w:val="32"/>
          <w:lang w:eastAsia="zh-CN"/>
        </w:rPr>
        <w:t xml:space="preserve">年度的财务状况报告</w:t>
      </w:r>
      <w:r>
        <w:rPr>
          <w:rFonts w:hint="eastAsia" w:ascii="Times New Roman" w:hAnsi="Times New Roman" w:cs="Times New Roman"/>
          <w:iCs/>
          <w:szCs w:val="32"/>
          <w:lang w:val="en-US" w:eastAsia="zh-CN"/>
        </w:rPr>
        <w:t xml:space="preserve">或</w:t>
      </w:r>
      <w:r>
        <w:rPr>
          <w:rFonts w:hint="eastAsia" w:ascii="Times New Roman" w:hAnsi="Times New Roman" w:cs="Times New Roman"/>
          <w:iCs/>
          <w:szCs w:val="32"/>
          <w:lang w:eastAsia="zh-CN"/>
        </w:rPr>
        <w:t xml:space="preserve">银行出具的资信证明</w:t>
      </w:r>
      <w:bookmarkEnd w:id="130"/>
      <w:r/>
      <w:r/>
    </w:p>
    <w:p>
      <w:pPr>
        <w:rPr>
          <w:rFonts w:hint="eastAsia" w:ascii="宋体" w:hAnsi="宋体" w:eastAsia="宋体" w:cs="宋体"/>
          <w:color w:val="auto"/>
          <w:highlight w:val="none"/>
          <w:lang w:eastAsia="zh-CN"/>
        </w:rPr>
      </w:pPr>
      <w:r>
        <w:rPr>
          <w:rFonts w:ascii="Helvetica" w:hAnsi="Helvetica" w:eastAsia="Helvetica" w:cs="Helvetica"/>
          <w:i w:val="0"/>
          <w:iCs w:val="0"/>
          <w:caps w:val="0"/>
          <w:color w:val="auto"/>
          <w:spacing w:val="0"/>
          <w:sz w:val="24"/>
          <w:szCs w:val="24"/>
          <w:shd w:val="clear" w:color="auto" w:fill="ffffff"/>
        </w:rPr>
        <w:t xml:space="preserve">（指经审计的财务报告或银行出具的资信证明，供应商成立不满一年的</w:t>
      </w:r>
      <w:r>
        <w:rPr>
          <w:rFonts w:hint="eastAsia" w:ascii="Helvetica" w:hAnsi="Helvetica" w:eastAsia="宋体" w:cs="Helvetica"/>
          <w:i w:val="0"/>
          <w:iCs w:val="0"/>
          <w:caps w:val="0"/>
          <w:color w:val="auto"/>
          <w:spacing w:val="0"/>
          <w:sz w:val="24"/>
          <w:szCs w:val="24"/>
          <w:shd w:val="clear" w:color="auto" w:fill="ffffff"/>
          <w:lang w:val="en-US" w:eastAsia="zh-CN"/>
        </w:rPr>
        <w:t xml:space="preserve">无</w:t>
      </w:r>
      <w:r>
        <w:rPr>
          <w:rFonts w:ascii="Helvetica" w:hAnsi="Helvetica" w:eastAsia="Helvetica" w:cs="Helvetica"/>
          <w:i w:val="0"/>
          <w:iCs w:val="0"/>
          <w:caps w:val="0"/>
          <w:color w:val="auto"/>
          <w:spacing w:val="0"/>
          <w:sz w:val="24"/>
          <w:szCs w:val="24"/>
          <w:shd w:val="clear" w:color="auto" w:fill="ffffff"/>
        </w:rPr>
        <w:t xml:space="preserve">需提供）</w:t>
      </w:r>
      <w:r>
        <w:rPr>
          <w:rFonts w:hint="eastAsia" w:ascii="宋体" w:hAnsi="宋体" w:eastAsia="宋体" w:cs="宋体"/>
          <w:color w:val="auto"/>
          <w:highlight w:val="none"/>
          <w:lang w:eastAsia="zh-CN"/>
        </w:rPr>
        <w:br w:type="page" w:clear="all"/>
      </w:r>
      <w:r/>
    </w:p>
    <w:p>
      <w:pPr>
        <w:pStyle w:val="1394"/>
        <w:rPr>
          <w:rFonts w:hint="eastAsia" w:ascii="Times New Roman" w:hAnsi="Times New Roman" w:cs="Times New Roman"/>
          <w:iCs/>
          <w:szCs w:val="32"/>
          <w:lang w:eastAsia="zh-CN"/>
        </w:rPr>
        <w:outlineLvl w:val="1"/>
      </w:pPr>
      <w:r/>
      <w:bookmarkStart w:id="131" w:name="_Toc17091"/>
      <w:r>
        <w:rPr>
          <w:rFonts w:hint="eastAsia" w:ascii="Times New Roman" w:hAnsi="Times New Roman" w:cs="Times New Roman"/>
          <w:iCs/>
          <w:szCs w:val="32"/>
          <w:lang w:val="en-US" w:eastAsia="zh-CN"/>
        </w:rPr>
        <w:t xml:space="preserve">五、</w:t>
      </w:r>
      <w:r>
        <w:rPr>
          <w:rFonts w:hint="eastAsia" w:ascii="Times New Roman" w:hAnsi="Times New Roman" w:cs="Times New Roman"/>
          <w:iCs/>
          <w:szCs w:val="32"/>
          <w:lang w:eastAsia="zh-CN"/>
        </w:rPr>
        <w:t xml:space="preserve">依法缴纳税收和社会保障资金的相关材料</w:t>
      </w:r>
      <w:bookmarkEnd w:id="131"/>
      <w:r/>
      <w:r/>
    </w:p>
    <w:p>
      <w:pPr>
        <w:ind w:firstLine="560"/>
        <w:rPr>
          <w:rFonts w:hint="eastAsia" w:ascii="宋体" w:hAnsi="宋体" w:eastAsia="宋体" w:cs="宋体"/>
          <w:color w:val="auto"/>
          <w:highlight w:val="none"/>
          <w:lang w:eastAsia="zh-CN"/>
        </w:rPr>
      </w:pPr>
      <w:r>
        <w:rPr>
          <w:rFonts w:hint="eastAsia" w:ascii="宋体" w:hAnsi="宋体" w:eastAsia="宋体" w:cs="宋体"/>
          <w:sz w:val="28"/>
          <w:szCs w:val="28"/>
        </w:rPr>
        <w:t xml:space="preserve">2026年2月份以来任意</w:t>
      </w:r>
      <w:r>
        <w:rPr>
          <w:rFonts w:hint="eastAsia" w:ascii="宋体" w:hAnsi="宋体" w:cs="宋体"/>
          <w:sz w:val="28"/>
          <w:szCs w:val="28"/>
          <w:lang w:eastAsia="zh-CN"/>
        </w:rPr>
        <w:t xml:space="preserve">一个</w:t>
      </w:r>
      <w:r>
        <w:rPr>
          <w:rFonts w:hint="eastAsia" w:ascii="宋体" w:hAnsi="宋体" w:eastAsia="宋体" w:cs="宋体"/>
          <w:sz w:val="28"/>
          <w:szCs w:val="28"/>
        </w:rPr>
        <w:t xml:space="preserve">月依法缴纳税收和社会保障资金的相关材料（指供应商依法缴纳税收和社会保障资金的完税凭据）；</w:t>
      </w:r>
      <w:r>
        <w:rPr>
          <w:rFonts w:hint="eastAsia" w:ascii="宋体" w:hAnsi="宋体" w:eastAsia="宋体" w:cs="宋体"/>
          <w:color w:val="auto"/>
          <w:highlight w:val="none"/>
          <w:lang w:eastAsia="zh-CN"/>
        </w:rPr>
        <w:br w:type="page" w:clear="all"/>
      </w:r>
      <w:r/>
    </w:p>
    <w:p>
      <w:pPr>
        <w:pStyle w:val="1394"/>
        <w:rPr>
          <w:rFonts w:hint="eastAsia" w:ascii="Times New Roman" w:hAnsi="Times New Roman" w:cs="Times New Roman"/>
          <w:iCs/>
          <w:szCs w:val="32"/>
          <w:lang w:val="en-US" w:eastAsia="zh-CN"/>
        </w:rPr>
        <w:outlineLvl w:val="1"/>
      </w:pPr>
      <w:r/>
      <w:bookmarkStart w:id="132" w:name="_Toc5061"/>
      <w:r>
        <w:rPr>
          <w:rFonts w:hint="eastAsia" w:ascii="Times New Roman" w:hAnsi="Times New Roman" w:cs="Times New Roman"/>
          <w:iCs/>
          <w:szCs w:val="32"/>
          <w:lang w:val="en-US" w:eastAsia="zh-CN"/>
        </w:rPr>
        <w:t xml:space="preserve">六、具备履行合同所必需的设备和专业技术能力的声明</w:t>
      </w:r>
      <w:bookmarkEnd w:id="132"/>
      <w:r/>
      <w:r/>
    </w:p>
    <w:p>
      <w:pPr>
        <w:jc w:val="center"/>
        <w:spacing w:line="360" w:lineRule="auto"/>
        <w:rPr>
          <w:rFonts w:hint="eastAsia" w:ascii="宋体" w:hAnsi="宋体" w:eastAsia="Times New Roman" w:cs="宋体"/>
          <w:iCs/>
          <w:color w:val="auto"/>
          <w:sz w:val="32"/>
          <w:szCs w:val="32"/>
          <w:lang w:eastAsia="zh-CN"/>
        </w:rPr>
      </w:pPr>
      <w:r>
        <w:rPr>
          <w:rFonts w:hint="eastAsia" w:ascii="宋体" w:hAnsi="宋体" w:eastAsia="Times New Roman" w:cs="宋体"/>
          <w:iCs/>
          <w:color w:val="auto"/>
          <w:sz w:val="32"/>
          <w:szCs w:val="32"/>
          <w:lang w:eastAsia="zh-CN"/>
        </w:rPr>
      </w:r>
      <w:r/>
    </w:p>
    <w:p>
      <w:pPr>
        <w:jc w:val="center"/>
        <w:spacing w:line="360" w:lineRule="auto"/>
        <w:rPr>
          <w:rFonts w:ascii="宋体" w:hAnsi="宋体" w:eastAsia="Times New Roman" w:cs="宋体"/>
          <w:b/>
          <w:bCs/>
          <w:color w:val="auto"/>
          <w:sz w:val="28"/>
          <w:szCs w:val="28"/>
          <w:lang w:eastAsia="zh-CN"/>
        </w:rPr>
      </w:pPr>
      <w:r>
        <w:rPr>
          <w:rFonts w:hint="eastAsia" w:ascii="宋体" w:hAnsi="宋体" w:eastAsia="Times New Roman" w:cs="宋体"/>
          <w:b/>
          <w:bCs/>
          <w:iCs/>
          <w:color w:val="auto"/>
          <w:sz w:val="28"/>
          <w:szCs w:val="28"/>
          <w:lang w:eastAsia="zh-CN"/>
        </w:rPr>
        <w:t xml:space="preserve">具备履行合同所必需的设备和专业技术能力的书面声明</w:t>
      </w:r>
      <w:r/>
    </w:p>
    <w:p>
      <w:pPr>
        <w:spacing w:line="50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r>
      <w:r/>
    </w:p>
    <w:p>
      <w:pPr>
        <w:spacing w:line="500" w:lineRule="exac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r>
      <w:r/>
    </w:p>
    <w:p>
      <w:pPr>
        <w:keepLines w:val="0"/>
        <w:keepNext w:val="0"/>
        <w:pageBreakBefore w:val="0"/>
        <w:spacing w:line="360" w:lineRule="auto"/>
        <w:widowControl w:val="off"/>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（采购人名称）：</w:t>
      </w:r>
      <w:r/>
    </w:p>
    <w:p>
      <w:pPr>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我单位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（供应商名称）郑重声明：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具备履行编号为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项目</w:t>
      </w:r>
      <w:r>
        <w:rPr>
          <w:rFonts w:hint="eastAsia" w:ascii="宋体" w:hAnsi="宋体" w:eastAsia="宋体" w:cs="宋体"/>
          <w:i w:val="0"/>
          <w:iCs w:val="0"/>
          <w:caps w:val="0"/>
          <w:color w:val="auto"/>
          <w:spacing w:val="0"/>
          <w:sz w:val="24"/>
          <w:szCs w:val="24"/>
          <w:shd w:val="clear" w:color="auto" w:fill="ffffff"/>
        </w:rPr>
        <w:t xml:space="preserve">合同所需的全部设备及专业技术能力，若声明失实，自愿承担相关责任。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特此声明。</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声明人（公章）：</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日期：   年   月   日</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rPr>
          <w:rFonts w:hint="eastAsia" w:ascii="宋体" w:hAnsi="宋体" w:eastAsia="Times New Roman" w:cs="宋体"/>
          <w:color w:val="auto"/>
          <w:lang w:eastAsia="zh-CN"/>
        </w:rPr>
      </w:pPr>
      <w:r>
        <w:rPr>
          <w:rFonts w:hint="eastAsia" w:ascii="宋体" w:hAnsi="宋体" w:eastAsia="Times New Roman" w:cs="宋体"/>
          <w:color w:val="auto"/>
          <w:lang w:eastAsia="zh-CN"/>
        </w:rPr>
      </w:r>
      <w:r/>
    </w:p>
    <w:p>
      <w:pPr>
        <w:rPr>
          <w:rFonts w:hint="eastAsia" w:ascii="宋体" w:hAnsi="宋体" w:eastAsia="Times New Roman" w:cs="宋体"/>
          <w:color w:val="auto"/>
          <w:lang w:eastAsia="zh-CN"/>
        </w:rPr>
      </w:pPr>
      <w:r>
        <w:rPr>
          <w:rFonts w:hint="eastAsia" w:ascii="宋体" w:hAnsi="宋体" w:eastAsia="Times New Roman" w:cs="宋体"/>
          <w:color w:val="auto"/>
          <w:lang w:eastAsia="zh-CN"/>
        </w:rPr>
      </w:r>
      <w:r/>
    </w:p>
    <w:p>
      <w:pPr>
        <w:rPr>
          <w:rFonts w:hint="eastAsia" w:ascii="宋体" w:hAnsi="宋体" w:eastAsia="Times New Roman" w:cs="宋体"/>
          <w:color w:val="auto"/>
          <w:lang w:eastAsia="zh-CN"/>
        </w:rPr>
      </w:pPr>
      <w:r>
        <w:rPr>
          <w:rFonts w:hint="eastAsia" w:ascii="宋体" w:hAnsi="宋体" w:eastAsia="Times New Roman" w:cs="宋体"/>
          <w:color w:val="auto"/>
          <w:lang w:eastAsia="zh-CN"/>
        </w:rPr>
      </w:r>
      <w:r/>
    </w:p>
    <w:p>
      <w:pPr>
        <w:rPr>
          <w:rFonts w:hint="eastAsia" w:ascii="宋体" w:hAnsi="宋体" w:eastAsia="Times New Roman" w:cs="宋体"/>
          <w:color w:val="auto"/>
          <w:lang w:eastAsia="zh-CN"/>
        </w:rPr>
      </w:pPr>
      <w:r>
        <w:rPr>
          <w:rFonts w:hint="eastAsia" w:ascii="宋体" w:hAnsi="宋体" w:eastAsia="Times New Roman" w:cs="宋体"/>
          <w:color w:val="auto"/>
          <w:lang w:eastAsia="zh-CN"/>
        </w:rPr>
        <w:br w:type="page" w:clear="all"/>
      </w:r>
      <w:r/>
    </w:p>
    <w:p>
      <w:pPr>
        <w:pStyle w:val="1394"/>
        <w:rPr>
          <w:rFonts w:hint="eastAsia" w:ascii="Times New Roman" w:hAnsi="Times New Roman" w:cs="Times New Roman"/>
          <w:iCs/>
          <w:szCs w:val="32"/>
          <w:lang w:val="en-US" w:eastAsia="zh-CN"/>
        </w:rPr>
        <w:outlineLvl w:val="1"/>
      </w:pPr>
      <w:r/>
      <w:bookmarkStart w:id="133" w:name="_Toc13185"/>
      <w:r>
        <w:rPr>
          <w:rFonts w:hint="eastAsia" w:ascii="Times New Roman" w:hAnsi="Times New Roman" w:cs="Times New Roman"/>
          <w:iCs/>
          <w:szCs w:val="32"/>
          <w:lang w:val="en-US" w:eastAsia="zh-CN"/>
        </w:rPr>
        <w:t xml:space="preserve">七、参加政府采购活动前3 年内在经营活动中没有重大违法记录的书面声明</w:t>
      </w:r>
      <w:bookmarkEnd w:id="133"/>
      <w:r/>
      <w:r/>
    </w:p>
    <w:p>
      <w:pPr>
        <w:jc w:val="center"/>
        <w:spacing w:line="360" w:lineRule="auto"/>
        <w:rPr>
          <w:rFonts w:hint="eastAsia" w:ascii="宋体" w:hAnsi="宋体" w:eastAsia="Times New Roman" w:cs="宋体"/>
          <w:b/>
          <w:bCs/>
          <w:color w:val="auto"/>
          <w:sz w:val="32"/>
          <w:szCs w:val="32"/>
          <w:lang w:eastAsia="zh-CN"/>
        </w:rPr>
      </w:pPr>
      <w:r>
        <w:rPr>
          <w:rFonts w:hint="eastAsia" w:ascii="宋体" w:hAnsi="宋体" w:eastAsia="Times New Roman" w:cs="宋体"/>
          <w:b/>
          <w:bCs/>
          <w:color w:val="auto"/>
          <w:sz w:val="32"/>
          <w:szCs w:val="32"/>
          <w:lang w:eastAsia="zh-CN"/>
        </w:rPr>
      </w:r>
      <w:r/>
    </w:p>
    <w:p>
      <w:pPr>
        <w:jc w:val="center"/>
        <w:spacing w:line="360" w:lineRule="auto"/>
        <w:rPr>
          <w:rFonts w:ascii="宋体" w:hAnsi="宋体" w:eastAsia="Times New Roman" w:cs="宋体"/>
          <w:b/>
          <w:bCs/>
          <w:color w:val="auto"/>
          <w:sz w:val="32"/>
          <w:szCs w:val="32"/>
          <w:lang w:eastAsia="zh-CN"/>
        </w:rPr>
      </w:pPr>
      <w:r>
        <w:rPr>
          <w:rFonts w:hint="eastAsia" w:ascii="宋体" w:hAnsi="宋体" w:eastAsia="Times New Roman" w:cs="宋体"/>
          <w:b/>
          <w:bCs/>
          <w:color w:val="auto"/>
          <w:sz w:val="32"/>
          <w:szCs w:val="32"/>
          <w:lang w:eastAsia="zh-CN"/>
        </w:rPr>
        <w:t xml:space="preserve">无重大违法记录声明</w:t>
      </w:r>
      <w:r/>
    </w:p>
    <w:p>
      <w:pPr>
        <w:spacing w:line="500" w:lineRule="exact"/>
        <w:rPr>
          <w:rFonts w:ascii="宋体" w:hAnsi="宋体" w:eastAsia="Times New Roman" w:cs="宋体"/>
          <w:color w:val="auto"/>
          <w:u w:val="single"/>
          <w:lang w:eastAsia="zh-CN"/>
        </w:rPr>
      </w:pPr>
      <w:r>
        <w:rPr>
          <w:rFonts w:hint="eastAsia" w:ascii="宋体" w:hAnsi="宋体" w:eastAsia="Times New Roman" w:cs="宋体"/>
          <w:color w:val="auto"/>
          <w:u w:val="single"/>
          <w:lang w:eastAsia="zh-CN"/>
        </w:rPr>
        <w:t xml:space="preserve">（采购人名称）：</w:t>
      </w:r>
      <w:r/>
    </w:p>
    <w:p>
      <w:pPr>
        <w:spacing w:line="360" w:lineRule="auto"/>
        <w:rPr>
          <w:rFonts w:ascii="宋体" w:hAnsi="宋体" w:eastAsia="Times New Roman" w:cs="宋体"/>
          <w:color w:val="auto"/>
          <w:lang w:eastAsia="zh-CN"/>
        </w:rPr>
      </w:pPr>
      <w:r>
        <w:rPr>
          <w:rFonts w:ascii="宋体" w:hAnsi="宋体" w:eastAsia="Times New Roman" w:cs="宋体"/>
          <w:color w:val="auto"/>
          <w:lang w:eastAsia="zh-CN"/>
        </w:rPr>
      </w:r>
      <w:r/>
    </w:p>
    <w:p>
      <w:pPr>
        <w:spacing w:line="360" w:lineRule="auto"/>
        <w:rPr>
          <w:rFonts w:ascii="宋体" w:hAnsi="宋体" w:eastAsia="Times New Roman" w:cs="宋体"/>
          <w:color w:val="auto"/>
          <w:lang w:eastAsia="zh-CN"/>
        </w:rPr>
      </w:pPr>
      <w:r>
        <w:rPr>
          <w:rFonts w:hint="eastAsia" w:ascii="宋体" w:hAnsi="宋体" w:eastAsia="Times New Roman" w:cs="宋体"/>
          <w:color w:val="auto"/>
          <w:lang w:eastAsia="zh-CN"/>
        </w:rPr>
        <w:t xml:space="preserve">我单位</w:t>
      </w:r>
      <w:r>
        <w:rPr>
          <w:rFonts w:hint="eastAsia" w:ascii="宋体" w:hAnsi="宋体" w:eastAsia="Times New Roman" w:cs="宋体"/>
          <w:color w:val="auto"/>
          <w:u w:val="single"/>
          <w:lang w:eastAsia="zh-CN"/>
        </w:rPr>
        <w:t xml:space="preserve">                      </w:t>
      </w:r>
      <w:r>
        <w:rPr>
          <w:rFonts w:hint="eastAsia" w:ascii="宋体" w:hAnsi="宋体" w:eastAsia="Times New Roman" w:cs="宋体"/>
          <w:color w:val="auto"/>
          <w:lang w:eastAsia="zh-CN"/>
        </w:rPr>
        <w:t xml:space="preserve">（供应商名称）郑重声明：</w:t>
      </w:r>
      <w:r/>
    </w:p>
    <w:p>
      <w:pPr>
        <w:ind w:firstLine="480"/>
        <w:spacing w:line="360" w:lineRule="auto"/>
        <w:rPr>
          <w:rFonts w:ascii="宋体" w:hAnsi="宋体" w:eastAsia="Times New Roman" w:cs="宋体"/>
          <w:color w:val="auto"/>
          <w:lang w:eastAsia="zh-CN"/>
        </w:rPr>
      </w:pPr>
      <w:r>
        <w:rPr>
          <w:rFonts w:hint="eastAsia" w:ascii="宋体" w:hAnsi="宋体" w:eastAsia="Times New Roman" w:cs="宋体"/>
          <w:color w:val="auto"/>
          <w:lang w:eastAsia="zh-CN"/>
        </w:rPr>
        <w:t xml:space="preserve">参加政府采购活动前3年内（自磋商文件发出之日起计算）在经营活动中</w:t>
      </w:r>
      <w:r>
        <w:rPr>
          <w:rFonts w:hint="eastAsia" w:ascii="宋体" w:hAnsi="宋体" w:eastAsia="Times New Roman" w:cs="宋体"/>
          <w:color w:val="auto"/>
          <w:u w:val="single"/>
          <w:lang w:eastAsia="zh-CN"/>
        </w:rPr>
        <w:t xml:space="preserve">        </w:t>
      </w:r>
      <w:r>
        <w:rPr>
          <w:rFonts w:hint="eastAsia" w:ascii="宋体" w:hAnsi="宋体" w:eastAsia="Times New Roman" w:cs="宋体"/>
          <w:color w:val="auto"/>
          <w:lang w:eastAsia="zh-CN"/>
        </w:rPr>
        <w:t xml:space="preserve">（在下划线上如实填写：有或没有）重大违法记录。</w:t>
      </w:r>
      <w:r/>
    </w:p>
    <w:p>
      <w:pPr>
        <w:ind w:firstLine="484"/>
        <w:spacing w:line="360" w:lineRule="auto"/>
        <w:rPr>
          <w:rFonts w:ascii="宋体" w:hAnsi="宋体" w:eastAsia="Times New Roman" w:cs="宋体"/>
          <w:color w:val="auto"/>
          <w:lang w:eastAsia="zh-CN"/>
        </w:rPr>
      </w:pPr>
      <w:r>
        <w:rPr>
          <w:rFonts w:hint="eastAsia" w:ascii="宋体" w:hAnsi="宋体" w:eastAsia="Times New Roman" w:cs="宋体"/>
          <w:color w:val="auto"/>
          <w:lang w:eastAsia="zh-CN"/>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eastAsia="Times New Roman" w:cs="宋体"/>
          <w:color w:val="auto"/>
          <w:lang w:eastAsia="zh-CN"/>
        </w:rPr>
      </w:pPr>
      <w:r>
        <w:rPr>
          <w:rFonts w:ascii="宋体" w:hAnsi="宋体" w:eastAsia="Times New Roman" w:cs="宋体"/>
          <w:color w:val="auto"/>
          <w:lang w:eastAsia="zh-CN"/>
        </w:rPr>
      </w:r>
      <w:r/>
    </w:p>
    <w:p>
      <w:pPr>
        <w:spacing w:line="360" w:lineRule="auto"/>
        <w:rPr>
          <w:rFonts w:ascii="宋体" w:hAnsi="宋体" w:eastAsia="Times New Roman" w:cs="宋体"/>
          <w:color w:val="auto"/>
          <w:lang w:eastAsia="zh-CN"/>
        </w:rPr>
      </w:pPr>
      <w:r>
        <w:rPr>
          <w:rFonts w:ascii="宋体" w:hAnsi="宋体" w:eastAsia="Times New Roman" w:cs="宋体"/>
          <w:color w:val="auto"/>
          <w:lang w:eastAsia="zh-CN"/>
        </w:rPr>
      </w:r>
      <w:r/>
    </w:p>
    <w:p>
      <w:pPr>
        <w:spacing w:line="360" w:lineRule="auto"/>
        <w:rPr>
          <w:rFonts w:ascii="宋体" w:hAnsi="宋体" w:eastAsia="Times New Roman" w:cs="宋体"/>
          <w:color w:val="auto"/>
          <w:lang w:eastAsia="zh-CN"/>
        </w:rPr>
      </w:pPr>
      <w:r>
        <w:rPr>
          <w:rFonts w:hint="eastAsia" w:ascii="宋体" w:hAnsi="宋体" w:eastAsia="Times New Roman" w:cs="宋体"/>
          <w:color w:val="auto"/>
          <w:lang w:eastAsia="zh-CN"/>
        </w:rPr>
        <w:t xml:space="preserve">声明人（公章）：</w:t>
      </w:r>
      <w:r/>
    </w:p>
    <w:p>
      <w:pPr>
        <w:spacing w:line="360" w:lineRule="auto"/>
        <w:rPr>
          <w:rFonts w:ascii="宋体" w:hAnsi="宋体" w:eastAsia="Times New Roman" w:cs="宋体"/>
          <w:b/>
          <w:bCs/>
          <w:color w:val="auto"/>
          <w:lang w:eastAsia="zh-CN"/>
        </w:rPr>
      </w:pPr>
      <w:r>
        <w:rPr>
          <w:rFonts w:hint="eastAsia" w:ascii="宋体" w:hAnsi="宋体" w:eastAsia="Times New Roman" w:cs="宋体"/>
          <w:color w:val="auto"/>
          <w:lang w:eastAsia="zh-CN"/>
        </w:rPr>
        <w:t xml:space="preserve">日期：   年   月   日</w:t>
      </w:r>
      <w:r/>
    </w:p>
    <w:p>
      <w:pPr>
        <w:ind w:firstLine="480"/>
        <w:rPr>
          <w:rFonts w:ascii="宋体" w:hAnsi="宋体" w:cs="宋体"/>
          <w:color w:val="auto"/>
          <w:szCs w:val="24"/>
        </w:rPr>
        <w:sectPr>
          <w:footerReference w:type="default" r:id="rId9"/>
          <w:footnotePr/>
          <w:endnotePr/>
          <w:type w:val="nextPage"/>
          <w:pgSz w:w="11906" w:h="16838" w:orient="portrait"/>
          <w:pgMar w:top="1440" w:right="1474" w:bottom="1440" w:left="1588" w:header="851" w:footer="992" w:gutter="0"/>
          <w:cols w:num="1" w:sep="0" w:space="720" w:equalWidth="1"/>
          <w:docGrid w:linePitch="360"/>
        </w:sectPr>
      </w:pPr>
      <w:r>
        <w:rPr>
          <w:rFonts w:ascii="宋体" w:hAnsi="宋体" w:cs="宋体"/>
          <w:color w:val="auto"/>
          <w:szCs w:val="24"/>
        </w:rPr>
      </w:r>
      <w:r/>
    </w:p>
    <w:p>
      <w:pPr>
        <w:pStyle w:val="1394"/>
        <w:rPr>
          <w:rFonts w:hint="eastAsia" w:ascii="宋体" w:hAnsi="宋体" w:eastAsia="宋体" w:cs="宋体"/>
        </w:rPr>
        <w:outlineLvl w:val="1"/>
      </w:pPr>
      <w:r>
        <w:rPr>
          <w:rFonts w:hint="eastAsia" w:ascii="Times New Roman" w:hAnsi="Times New Roman"/>
          <w:iCs/>
          <w:szCs w:val="32"/>
          <w:lang w:val="en-US" w:eastAsia="zh-CN"/>
        </w:rPr>
        <w:t xml:space="preserve">八</w:t>
      </w:r>
      <w:r>
        <w:rPr>
          <w:rFonts w:hint="eastAsia" w:ascii="Times New Roman" w:hAnsi="Times New Roman"/>
          <w:iCs/>
          <w:szCs w:val="32"/>
        </w:rPr>
        <w:t xml:space="preserve">、</w:t>
      </w:r>
      <w:bookmarkEnd w:id="125"/>
      <w:r/>
      <w:bookmarkEnd w:id="126"/>
      <w:r>
        <w:rPr>
          <w:rFonts w:hint="eastAsia" w:ascii="Times New Roman" w:hAnsi="Times New Roman"/>
          <w:iCs/>
          <w:szCs w:val="32"/>
        </w:rPr>
        <w:t xml:space="preserve">法人授权书</w:t>
      </w:r>
      <w:bookmarkEnd w:id="127"/>
      <w:r/>
      <w:r/>
    </w:p>
    <w:p>
      <w:pPr>
        <w:pStyle w:val="1396"/>
        <w:jc w:val="center"/>
        <w:rPr>
          <w:rFonts w:hint="eastAsia" w:ascii="宋体" w:hAnsi="宋体" w:eastAsia="宋体" w:cs="宋体"/>
          <w:bCs/>
          <w:szCs w:val="32"/>
        </w:rPr>
      </w:pPr>
      <w:r/>
      <w:bookmarkStart w:id="134" w:name="OLE_LINK6"/>
      <w:r/>
      <w:r/>
    </w:p>
    <w:p>
      <w:pPr>
        <w:pStyle w:val="1396"/>
        <w:jc w:val="center"/>
        <w:rPr>
          <w:rFonts w:hint="eastAsia" w:ascii="宋体" w:hAnsi="宋体" w:eastAsia="宋体" w:cs="宋体"/>
          <w:b w:val="0"/>
          <w:szCs w:val="32"/>
        </w:rPr>
      </w:pPr>
      <w:r>
        <w:rPr>
          <w:rFonts w:hint="eastAsia" w:ascii="宋体" w:hAnsi="宋体" w:eastAsia="宋体" w:cs="宋体"/>
          <w:b w:val="0"/>
          <w:szCs w:val="32"/>
        </w:rPr>
        <w:t xml:space="preserve">法人授权书</w:t>
      </w:r>
      <w:bookmarkEnd w:id="134"/>
      <w:r/>
      <w:r/>
    </w:p>
    <w:p>
      <w:pPr>
        <w:pStyle w:val="1163"/>
        <w:ind w:firstLine="482"/>
        <w:spacing w:line="480" w:lineRule="exact"/>
        <w:rPr>
          <w:rFonts w:hint="eastAsia" w:ascii="宋体" w:hAnsi="宋体" w:eastAsia="宋体" w:cs="宋体"/>
          <w:b w:val="0"/>
          <w:szCs w:val="24"/>
        </w:rPr>
      </w:pPr>
      <w:r>
        <w:rPr>
          <w:rFonts w:hint="eastAsia" w:ascii="宋体" w:hAnsi="宋体" w:eastAsia="宋体" w:cs="宋体"/>
          <w:b w:val="0"/>
          <w:szCs w:val="24"/>
        </w:rPr>
        <w:t xml:space="preserve">本授权书声明：____________（供应商名称）授权________________（被授权人的姓名）为我方就       号        采购活动的合法代理人，以本单位名义全权处理一切与该项目采购有关的事务。</w:t>
      </w:r>
      <w:r/>
    </w:p>
    <w:p>
      <w:pPr>
        <w:pStyle w:val="1163"/>
        <w:ind w:firstLine="482"/>
        <w:spacing w:line="480" w:lineRule="exact"/>
        <w:rPr>
          <w:rFonts w:hint="eastAsia" w:ascii="宋体" w:hAnsi="宋体" w:eastAsia="宋体" w:cs="宋体"/>
          <w:b w:val="0"/>
          <w:szCs w:val="24"/>
        </w:rPr>
      </w:pPr>
      <w:r>
        <w:rPr>
          <w:rFonts w:hint="eastAsia" w:ascii="宋体" w:hAnsi="宋体" w:eastAsia="宋体" w:cs="宋体"/>
          <w:b w:val="0"/>
          <w:szCs w:val="24"/>
        </w:rPr>
        <w:t xml:space="preserve">本授权书于______年____月____日起生效，特此声明。</w:t>
      </w:r>
      <w:r/>
    </w:p>
    <w:p>
      <w:pPr>
        <w:pStyle w:val="1163"/>
        <w:ind w:firstLine="482"/>
        <w:spacing w:line="480" w:lineRule="exact"/>
        <w:rPr>
          <w:rFonts w:hint="eastAsia" w:ascii="宋体" w:hAnsi="宋体" w:eastAsia="宋体" w:cs="宋体"/>
          <w:b w:val="0"/>
          <w:szCs w:val="24"/>
          <w:u w:val="single"/>
        </w:rPr>
      </w:pPr>
      <w:r>
        <w:rPr>
          <w:rFonts w:hint="eastAsia" w:ascii="宋体" w:hAnsi="宋体" w:eastAsia="宋体" w:cs="宋体"/>
          <w:b w:val="0"/>
          <w:szCs w:val="24"/>
        </w:rPr>
        <w:t xml:space="preserve">被授权人身份证号码：</w:t>
      </w:r>
      <w:r>
        <w:rPr>
          <w:rFonts w:hint="eastAsia" w:ascii="宋体" w:hAnsi="宋体" w:eastAsia="宋体" w:cs="宋体"/>
          <w:b w:val="0"/>
          <w:szCs w:val="24"/>
          <w:u w:val="single"/>
        </w:rPr>
        <w:t xml:space="preserve">                             </w:t>
      </w:r>
      <w:r/>
    </w:p>
    <w:p>
      <w:pPr>
        <w:pStyle w:val="1163"/>
        <w:ind w:firstLine="482"/>
        <w:spacing w:line="480" w:lineRule="exact"/>
        <w:rPr>
          <w:rFonts w:hint="eastAsia" w:ascii="宋体" w:hAnsi="宋体" w:eastAsia="宋体" w:cs="宋体"/>
          <w:b w:val="0"/>
          <w:szCs w:val="24"/>
        </w:rPr>
      </w:pPr>
      <w:r>
        <w:rPr>
          <w:rFonts w:hint="eastAsia" w:ascii="宋体" w:hAnsi="宋体" w:eastAsia="宋体" w:cs="宋体"/>
          <w:b w:val="0"/>
          <w:szCs w:val="24"/>
        </w:rPr>
        <w:t xml:space="preserve">被授权人联系电话：（手机）</w:t>
      </w:r>
      <w:r>
        <w:rPr>
          <w:rFonts w:hint="eastAsia" w:ascii="宋体" w:hAnsi="宋体" w:eastAsia="宋体" w:cs="宋体"/>
          <w:b w:val="0"/>
          <w:szCs w:val="24"/>
          <w:u w:val="single"/>
        </w:rPr>
        <w:t xml:space="preserve">                          </w:t>
      </w:r>
      <w:r/>
    </w:p>
    <w:p>
      <w:pPr>
        <w:pStyle w:val="1163"/>
        <w:ind w:firstLine="482"/>
        <w:spacing w:line="480" w:lineRule="exact"/>
        <w:rPr>
          <w:rFonts w:hint="eastAsia" w:ascii="宋体" w:hAnsi="宋体" w:eastAsia="宋体" w:cs="宋体"/>
          <w:b w:val="0"/>
          <w:szCs w:val="24"/>
        </w:rPr>
      </w:pPr>
      <w:r>
        <w:rPr>
          <w:rFonts w:hint="eastAsia" w:ascii="宋体" w:hAnsi="宋体" w:eastAsia="宋体" w:cs="宋体"/>
          <w:b w:val="0"/>
          <w:szCs w:val="24"/>
        </w:rPr>
        <w:t xml:space="preserve">授权单位名称：</w:t>
      </w:r>
      <w:r>
        <w:rPr>
          <w:rFonts w:hint="eastAsia" w:ascii="宋体" w:hAnsi="宋体" w:eastAsia="宋体" w:cs="宋体"/>
          <w:b w:val="0"/>
          <w:szCs w:val="24"/>
          <w:u w:val="single"/>
        </w:rPr>
        <w:t xml:space="preserve">（盖CA电子公章）</w:t>
      </w:r>
      <w:r/>
    </w:p>
    <w:p>
      <w:pPr>
        <w:pStyle w:val="1163"/>
        <w:ind w:firstLine="482"/>
        <w:spacing w:line="480" w:lineRule="exact"/>
        <w:rPr>
          <w:rFonts w:hint="eastAsia" w:ascii="宋体" w:hAnsi="宋体" w:eastAsia="宋体" w:cs="宋体"/>
          <w:b w:val="0"/>
          <w:szCs w:val="24"/>
        </w:rPr>
      </w:pPr>
      <w:r>
        <w:rPr>
          <w:rFonts w:hint="eastAsia" w:ascii="宋体" w:hAnsi="宋体" w:eastAsia="宋体" w:cs="宋体"/>
          <w:b w:val="0"/>
          <w:szCs w:val="24"/>
        </w:rPr>
        <w:t xml:space="preserve">单位地址：</w:t>
      </w:r>
      <w:r>
        <w:rPr>
          <w:rFonts w:hint="eastAsia" w:ascii="宋体" w:hAnsi="宋体" w:eastAsia="宋体" w:cs="宋体"/>
          <w:b w:val="0"/>
          <w:szCs w:val="24"/>
          <w:u w:val="single"/>
        </w:rPr>
        <w:t xml:space="preserve">                                         </w:t>
      </w:r>
      <w:r/>
    </w:p>
    <w:p>
      <w:pPr>
        <w:pStyle w:val="1163"/>
        <w:ind w:firstLine="482"/>
        <w:spacing w:line="480" w:lineRule="exact"/>
        <w:rPr>
          <w:rFonts w:hint="eastAsia" w:ascii="宋体" w:hAnsi="宋体" w:eastAsia="宋体" w:cs="宋体"/>
          <w:szCs w:val="24"/>
        </w:rPr>
      </w:pPr>
      <w:r>
        <w:rPr>
          <w:rFonts w:hint="eastAsia" w:ascii="宋体" w:hAnsi="宋体" w:eastAsia="宋体" w:cs="宋体"/>
          <w:b w:val="0"/>
          <w:szCs w:val="24"/>
        </w:rPr>
        <w:t xml:space="preserve">日期：</w:t>
      </w:r>
      <w:bookmarkStart w:id="135" w:name="_Hlt26955070"/>
      <w:r/>
      <w:bookmarkEnd w:id="135"/>
      <w:r/>
      <w:bookmarkStart w:id="136" w:name="_格式3__银行出具的资信证明"/>
      <w:r/>
      <w:bookmarkEnd w:id="136"/>
      <w:r/>
      <w:bookmarkStart w:id="137" w:name="_Hlt26671380"/>
      <w:r/>
      <w:bookmarkEnd w:id="137"/>
      <w:r>
        <w:rPr>
          <w:rFonts w:hint="eastAsia" w:ascii="宋体" w:hAnsi="宋体" w:eastAsia="宋体" w:cs="宋体"/>
          <w:b w:val="0"/>
          <w:szCs w:val="24"/>
          <w:u w:val="single"/>
        </w:rPr>
        <w:t xml:space="preserve">                                      </w:t>
      </w:r>
      <w:r>
        <w:rPr>
          <w:rFonts w:hint="eastAsia" w:ascii="宋体" w:hAnsi="宋体" w:eastAsia="宋体" w:cs="宋体"/>
          <w:szCs w:val="24"/>
          <w:u w:val="single"/>
        </w:rPr>
        <w:t xml:space="preserve">   </w:t>
      </w:r>
      <w:r/>
    </w:p>
    <w:p>
      <w:pPr>
        <w:pStyle w:val="1393"/>
        <w:ind w:firstLine="629"/>
        <w:spacing w:line="700" w:lineRule="exact"/>
        <w:rPr>
          <w:rFonts w:hint="eastAsia" w:ascii="宋体" w:hAnsi="宋体" w:eastAsia="宋体" w:cs="宋体"/>
          <w:sz w:val="24"/>
        </w:rPr>
      </w:pPr>
      <w:r>
        <w:rPr>
          <w:rFonts w:hint="eastAsia" w:ascii="宋体" w:hAnsi="宋体" w:eastAsia="宋体" w:cs="宋体"/>
          <w:sz w:val="24"/>
        </w:rPr>
      </w:r>
      <w:r/>
    </w:p>
    <w:p>
      <w:pPr>
        <w:pStyle w:val="1394"/>
        <w:rPr>
          <w:rFonts w:hint="eastAsia" w:ascii="宋体" w:hAnsi="宋体" w:eastAsia="宋体" w:cs="宋体"/>
        </w:rPr>
        <w:outlineLvl w:val="1"/>
      </w:pPr>
      <w:r>
        <w:rPr>
          <w:rFonts w:hint="eastAsia" w:ascii="宋体" w:hAnsi="宋体" w:eastAsia="宋体" w:cs="宋体"/>
        </w:rPr>
        <w:br w:type="page" w:clear="all"/>
      </w:r>
      <w:bookmarkStart w:id="138" w:name="_Toc30543"/>
      <w:r/>
      <w:bookmarkStart w:id="139" w:name="_Toc13550"/>
      <w:r/>
      <w:bookmarkStart w:id="140" w:name="_Toc27199"/>
      <w:r>
        <w:rPr>
          <w:rFonts w:hint="eastAsia" w:ascii="Times New Roman" w:hAnsi="Times New Roman"/>
          <w:iCs/>
          <w:szCs w:val="32"/>
          <w:lang w:val="en-US" w:eastAsia="zh-CN"/>
        </w:rPr>
        <w:t xml:space="preserve">九、开标一览表</w:t>
      </w:r>
      <w:bookmarkEnd w:id="138"/>
      <w:r/>
      <w:bookmarkEnd w:id="139"/>
      <w:r/>
      <w:bookmarkEnd w:id="140"/>
      <w:r/>
      <w:r/>
    </w:p>
    <w:p>
      <w:pPr>
        <w:ind w:firstLine="480"/>
        <w:rPr>
          <w:rFonts w:hint="eastAsia" w:ascii="宋体" w:hAnsi="宋体" w:eastAsia="宋体" w:cs="宋体"/>
          <w:color w:val="auto"/>
          <w:sz w:val="24"/>
          <w:szCs w:val="24"/>
          <w:highlight w:val="none"/>
        </w:rPr>
      </w:pPr>
      <w:r/>
      <w:bookmarkStart w:id="141" w:name="_Toc26543"/>
      <w:r/>
      <w:bookmarkStart w:id="142" w:name="_Toc956"/>
      <w:r/>
      <w:bookmarkStart w:id="143" w:name="_Toc1261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78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皂河站监测装置及控制系统完善项目</w:t>
      </w:r>
      <w:r/>
    </w:p>
    <w:p>
      <w:pPr>
        <w:ind w:firstLine="78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p>
    <w:p>
      <w:pPr>
        <w:ind w:firstLine="78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分包号：</w:t>
      </w:r>
      <w:r/>
    </w:p>
    <w:tbl>
      <w:tblPr>
        <w:tblStyle w:val="807"/>
        <w:tblW w:w="82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jc w:val="center"/>
          <w:trHeight w:val="912"/>
        </w:trPr>
        <w:tc>
          <w:tcPr>
            <w:tcW w:w="822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投标总报价</w:t>
            </w:r>
            <w:r/>
          </w:p>
        </w:tc>
      </w:tr>
      <w:tr>
        <w:trPr>
          <w:cantSplit/>
          <w:jc w:val="center"/>
          <w:trHeight w:val="784"/>
        </w:trPr>
        <w:tc>
          <w:tcPr>
            <w:tcW w:w="8220" w:type="dxa"/>
            <w:vAlign w:val="center"/>
            <w:textDirection w:val="lrTb"/>
            <w:noWrap w:val="false"/>
          </w:tcPr>
          <w:p>
            <w:pPr>
              <w:pStyle w:val="1186"/>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小写：                             （人民币：元）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08"/>
        <w:ind w:firstLine="442"/>
        <w:spacing w:line="480" w:lineRule="exact"/>
        <w:rPr>
          <w:rFonts w:hint="eastAsia" w:ascii="宋体" w:hAnsi="宋体" w:eastAsia="宋体" w:cs="宋体"/>
          <w:sz w:val="32"/>
        </w:rPr>
      </w:pPr>
      <w:r>
        <w:rPr>
          <w:rFonts w:hint="eastAsia" w:ascii="宋体" w:hAnsi="宋体" w:eastAsia="宋体" w:cs="宋体"/>
          <w:sz w:val="32"/>
        </w:rPr>
      </w:r>
      <w:r/>
    </w:p>
    <w:p>
      <w:pPr>
        <w:pStyle w:val="1402"/>
        <w:rPr>
          <w:rFonts w:hint="eastAsia" w:ascii="宋体" w:hAnsi="宋体" w:eastAsia="宋体" w:cs="宋体"/>
          <w:bCs/>
        </w:rPr>
        <w:outlineLvl w:val="1"/>
      </w:pPr>
      <w:r>
        <w:rPr>
          <w:rFonts w:hint="eastAsia" w:ascii="宋体" w:hAnsi="宋体" w:eastAsia="宋体" w:cs="宋体"/>
          <w:bCs/>
        </w:rPr>
      </w:r>
      <w:r/>
    </w:p>
    <w:p>
      <w:pPr>
        <w:pStyle w:val="1402"/>
        <w:rPr>
          <w:rFonts w:hint="eastAsia" w:ascii="宋体" w:hAnsi="宋体" w:eastAsia="宋体" w:cs="宋体"/>
          <w:bCs/>
        </w:rPr>
        <w:outlineLvl w:val="1"/>
      </w:pPr>
      <w:r>
        <w:rPr>
          <w:rFonts w:hint="eastAsia" w:ascii="宋体" w:hAnsi="宋体" w:eastAsia="宋体" w:cs="宋体"/>
          <w:bCs/>
        </w:rPr>
      </w:r>
      <w:r/>
    </w:p>
    <w:p>
      <w:pPr>
        <w:rPr>
          <w:rFonts w:hint="eastAsia" w:ascii="宋体" w:hAnsi="宋体" w:eastAsia="宋体" w:cs="宋体"/>
          <w:bCs/>
        </w:rPr>
      </w:pPr>
      <w:r>
        <w:rPr>
          <w:rFonts w:hint="eastAsia" w:ascii="宋体" w:hAnsi="宋体" w:eastAsia="宋体" w:cs="宋体"/>
          <w:bCs/>
        </w:rPr>
        <w:br w:type="page" w:clear="all"/>
      </w:r>
      <w:r/>
    </w:p>
    <w:p>
      <w:pPr>
        <w:pStyle w:val="1394"/>
        <w:rPr>
          <w:rFonts w:hint="eastAsia" w:ascii="Times New Roman" w:hAnsi="Times New Roman"/>
          <w:iCs/>
          <w:szCs w:val="32"/>
          <w:lang w:val="en-US" w:eastAsia="zh-CN"/>
        </w:rPr>
        <w:outlineLvl w:val="1"/>
      </w:pPr>
      <w:r>
        <w:rPr>
          <w:rFonts w:hint="eastAsia" w:ascii="Times New Roman" w:hAnsi="Times New Roman"/>
          <w:iCs/>
          <w:szCs w:val="32"/>
          <w:lang w:val="en-US" w:eastAsia="zh-CN"/>
        </w:rPr>
        <w:t xml:space="preserve">十、</w:t>
      </w:r>
      <w:bookmarkEnd w:id="141"/>
      <w:r/>
      <w:bookmarkEnd w:id="142"/>
      <w:r>
        <w:rPr>
          <w:rFonts w:hint="eastAsia" w:ascii="Times New Roman" w:hAnsi="Times New Roman"/>
          <w:iCs/>
          <w:szCs w:val="32"/>
          <w:lang w:val="en-US" w:eastAsia="zh-CN"/>
        </w:rPr>
        <w:t xml:space="preserve">分项报价表</w:t>
      </w:r>
      <w:bookmarkEnd w:id="143"/>
      <w:r/>
      <w:r/>
    </w:p>
    <w:p>
      <w:pPr>
        <w:pStyle w:val="1396"/>
        <w:jc w:val="center"/>
        <w:rPr>
          <w:rFonts w:hint="eastAsia" w:ascii="宋体" w:hAnsi="宋体" w:eastAsia="宋体" w:cs="宋体"/>
          <w:bCs/>
          <w:szCs w:val="32"/>
        </w:rPr>
      </w:pPr>
      <w:r>
        <w:rPr>
          <w:rFonts w:hint="eastAsia" w:ascii="宋体" w:hAnsi="宋体" w:eastAsia="宋体" w:cs="宋体"/>
          <w:bCs/>
          <w:szCs w:val="32"/>
        </w:rPr>
      </w:r>
      <w:r/>
    </w:p>
    <w:p>
      <w:pPr>
        <w:pStyle w:val="1396"/>
        <w:jc w:val="center"/>
        <w:rPr>
          <w:rFonts w:hint="eastAsia" w:ascii="宋体" w:hAnsi="宋体" w:eastAsia="宋体" w:cs="宋体"/>
          <w:bCs/>
          <w:szCs w:val="32"/>
        </w:rPr>
      </w:pPr>
      <w:r>
        <w:rPr>
          <w:rFonts w:hint="eastAsia" w:ascii="宋体" w:hAnsi="宋体" w:eastAsia="宋体" w:cs="宋体"/>
          <w:bCs/>
          <w:szCs w:val="32"/>
        </w:rPr>
        <w:t xml:space="preserve">分项报价表</w:t>
      </w:r>
      <w:r/>
    </w:p>
    <w:p>
      <w:pPr>
        <w:pStyle w:val="1396"/>
        <w:jc w:val="center"/>
        <w:rPr>
          <w:rFonts w:hint="eastAsia" w:ascii="宋体" w:hAnsi="宋体" w:eastAsia="宋体" w:cs="宋体"/>
          <w:bCs/>
        </w:rPr>
      </w:pPr>
      <w:r>
        <w:rPr>
          <w:rFonts w:hint="eastAsia" w:ascii="宋体" w:hAnsi="宋体" w:eastAsia="宋体" w:cs="宋体"/>
          <w:bCs/>
        </w:rPr>
      </w:r>
      <w:r/>
    </w:p>
    <w:tbl>
      <w:tblPr>
        <w:tblStyle w:val="80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1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7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617"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33"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2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136"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77"/>
        </w:trPr>
        <w:tc>
          <w:tcPr>
            <w:gridSpan w:val="3"/>
            <w:tcW w:w="2366" w:type="dxa"/>
            <w:vAlign w:val="center"/>
            <w:textDirection w:val="lrTb"/>
            <w:noWrap w:val="false"/>
          </w:tcPr>
          <w:p>
            <w:pPr>
              <w:pStyle w:val="1467"/>
              <w:jc w:val="center"/>
              <w:spacing w:line="500" w:lineRule="exact"/>
              <w:rPr>
                <w:rFonts w:hint="eastAsia" w:ascii="宋体" w:hAnsi="宋体" w:eastAsia="宋体" w:cs="宋体"/>
                <w:b/>
                <w:bCs/>
                <w:sz w:val="24"/>
              </w:rPr>
            </w:pPr>
            <w:r>
              <w:rPr>
                <w:rFonts w:hint="eastAsia" w:ascii="宋体" w:hAnsi="宋体" w:eastAsia="宋体" w:cs="宋体"/>
                <w:b/>
                <w:bCs/>
                <w:sz w:val="28"/>
                <w:szCs w:val="28"/>
              </w:rPr>
              <w:t xml:space="preserve">投标总报价</w:t>
            </w:r>
            <w:r/>
          </w:p>
        </w:tc>
        <w:tc>
          <w:tcPr>
            <w:gridSpan w:val="6"/>
            <w:tcW w:w="6911" w:type="dxa"/>
            <w:vAlign w:val="center"/>
            <w:textDirection w:val="lrTb"/>
            <w:noWrap w:val="false"/>
          </w:tcPr>
          <w:p>
            <w:pPr>
              <w:pStyle w:val="1467"/>
              <w:spacing w:line="500" w:lineRule="exact"/>
              <w:rPr>
                <w:rFonts w:hint="eastAsia" w:ascii="宋体" w:hAnsi="宋体" w:eastAsia="宋体" w:cs="宋体"/>
                <w:b/>
                <w:bCs/>
                <w:sz w:val="24"/>
              </w:rPr>
            </w:pPr>
            <w:r>
              <w:rPr>
                <w:rFonts w:hint="eastAsia" w:ascii="宋体" w:hAnsi="宋体" w:eastAsia="宋体" w:cs="宋体"/>
                <w:b/>
                <w:bCs/>
                <w:sz w:val="24"/>
              </w:rPr>
              <w:t xml:space="preserve">￥</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p>
          <w:p>
            <w:pPr>
              <w:pStyle w:val="1467"/>
              <w:spacing w:line="500" w:lineRule="exact"/>
              <w:rPr>
                <w:rFonts w:hint="eastAsia" w:ascii="宋体" w:hAnsi="宋体" w:eastAsia="宋体" w:cs="宋体"/>
                <w:b/>
                <w:bCs/>
                <w:sz w:val="24"/>
              </w:rPr>
            </w:pPr>
            <w:r>
              <w:rPr>
                <w:rFonts w:hint="eastAsia" w:ascii="宋体" w:hAnsi="宋体" w:eastAsia="宋体" w:cs="宋体"/>
                <w:b/>
                <w:bCs/>
                <w:sz w:val="24"/>
              </w:rPr>
              <w:t xml:space="preserve">人民币（大写）：</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仟     </w:t>
            </w:r>
            <w:r>
              <w:rPr>
                <w:rFonts w:hint="eastAsia" w:ascii="宋体" w:hAnsi="宋体" w:eastAsia="宋体" w:cs="宋体"/>
                <w:bCs/>
                <w:sz w:val="24"/>
              </w:rPr>
              <w:t xml:space="preserve">佰</w:t>
            </w:r>
            <w:r>
              <w:rPr>
                <w:rFonts w:hint="eastAsia" w:ascii="宋体" w:hAnsi="宋体" w:eastAsia="宋体" w:cs="宋体"/>
                <w:sz w:val="24"/>
                <w:u w:val="single"/>
              </w:rPr>
              <w:t xml:space="preserve">    </w:t>
            </w:r>
            <w:r>
              <w:rPr>
                <w:rFonts w:hint="eastAsia" w:ascii="宋体" w:hAnsi="宋体" w:eastAsia="宋体" w:cs="宋体"/>
                <w:bCs/>
                <w:sz w:val="24"/>
              </w:rPr>
              <w:t xml:space="preserve">拾</w:t>
            </w:r>
            <w:r>
              <w:rPr>
                <w:rFonts w:hint="eastAsia" w:ascii="宋体" w:hAnsi="宋体" w:eastAsia="宋体" w:cs="宋体"/>
                <w:sz w:val="24"/>
                <w:u w:val="single"/>
              </w:rPr>
              <w:t xml:space="preserve">    </w:t>
            </w:r>
            <w:r>
              <w:rPr>
                <w:rFonts w:hint="eastAsia" w:ascii="宋体" w:hAnsi="宋体" w:eastAsia="宋体" w:cs="宋体"/>
                <w:bCs/>
                <w:sz w:val="24"/>
              </w:rPr>
              <w:t xml:space="preserve"> 万</w:t>
            </w:r>
            <w:r>
              <w:rPr>
                <w:rFonts w:hint="eastAsia" w:ascii="宋体" w:hAnsi="宋体" w:eastAsia="宋体" w:cs="宋体"/>
                <w:bCs/>
                <w:sz w:val="24"/>
                <w:u w:val="single"/>
              </w:rPr>
              <w:t xml:space="preserve">    </w:t>
            </w:r>
            <w:r>
              <w:rPr>
                <w:rFonts w:hint="eastAsia" w:ascii="宋体" w:hAnsi="宋体" w:eastAsia="宋体" w:cs="宋体"/>
                <w:bCs/>
                <w:sz w:val="24"/>
              </w:rPr>
              <w:t xml:space="preserve">仟</w:t>
            </w:r>
            <w:r>
              <w:rPr>
                <w:rFonts w:hint="eastAsia" w:ascii="宋体" w:hAnsi="宋体" w:eastAsia="宋体" w:cs="宋体"/>
                <w:sz w:val="24"/>
                <w:u w:val="single"/>
              </w:rPr>
              <w:t xml:space="preserve">      </w:t>
            </w:r>
            <w:r>
              <w:rPr>
                <w:rFonts w:hint="eastAsia" w:ascii="宋体" w:hAnsi="宋体" w:eastAsia="宋体" w:cs="宋体"/>
                <w:bCs/>
                <w:sz w:val="24"/>
              </w:rPr>
              <w:t xml:space="preserve">佰</w:t>
            </w:r>
            <w:r>
              <w:rPr>
                <w:rFonts w:hint="eastAsia" w:ascii="宋体" w:hAnsi="宋体" w:eastAsia="宋体" w:cs="宋体"/>
                <w:sz w:val="24"/>
                <w:u w:val="single"/>
              </w:rPr>
              <w:t xml:space="preserve">      </w:t>
            </w:r>
            <w:r>
              <w:rPr>
                <w:rFonts w:hint="eastAsia" w:ascii="宋体" w:hAnsi="宋体" w:eastAsia="宋体" w:cs="宋体"/>
                <w:bCs/>
                <w:sz w:val="24"/>
              </w:rPr>
              <w:t xml:space="preserve">拾</w:t>
            </w:r>
            <w:r>
              <w:rPr>
                <w:rFonts w:hint="eastAsia" w:ascii="宋体" w:hAnsi="宋体" w:eastAsia="宋体" w:cs="宋体"/>
                <w:sz w:val="24"/>
                <w:u w:val="single"/>
              </w:rPr>
              <w:t xml:space="preserve">     </w:t>
            </w:r>
            <w:r>
              <w:rPr>
                <w:rFonts w:hint="eastAsia" w:ascii="宋体" w:hAnsi="宋体" w:eastAsia="宋体" w:cs="宋体"/>
                <w:bCs/>
                <w:sz w:val="24"/>
              </w:rPr>
              <w:t xml:space="preserve">元</w:t>
            </w:r>
            <w:r>
              <w:rPr>
                <w:rFonts w:hint="eastAsia" w:ascii="宋体" w:hAnsi="宋体" w:eastAsia="宋体" w:cs="宋体"/>
                <w:sz w:val="24"/>
                <w:u w:val="single"/>
              </w:rPr>
              <w:t xml:space="preserve">      </w:t>
            </w:r>
            <w:r>
              <w:rPr>
                <w:rFonts w:hint="eastAsia" w:ascii="宋体" w:hAnsi="宋体" w:eastAsia="宋体" w:cs="宋体"/>
                <w:bCs/>
                <w:sz w:val="24"/>
              </w:rPr>
              <w:t xml:space="preserve">角</w:t>
            </w:r>
            <w:r>
              <w:rPr>
                <w:rFonts w:hint="eastAsia" w:ascii="宋体" w:hAnsi="宋体" w:eastAsia="宋体" w:cs="宋体"/>
                <w:sz w:val="24"/>
                <w:u w:val="single"/>
              </w:rPr>
              <w:t xml:space="preserve">      </w:t>
            </w:r>
            <w:r>
              <w:rPr>
                <w:rFonts w:hint="eastAsia" w:ascii="宋体" w:hAnsi="宋体" w:eastAsia="宋体" w:cs="宋体"/>
                <w:bCs/>
                <w:sz w:val="24"/>
              </w:rPr>
              <w:t xml:space="preserve">分</w:t>
            </w:r>
            <w:r/>
          </w:p>
        </w:tc>
      </w:tr>
      <w:tr>
        <w:trPr>
          <w:cantSplit/>
          <w:trHeight w:val="677"/>
        </w:trPr>
        <w:tc>
          <w:tcPr>
            <w:gridSpan w:val="9"/>
            <w:tcW w:w="9277" w:type="dxa"/>
            <w:textDirection w:val="lrTb"/>
            <w:noWrap w:val="false"/>
          </w:tcPr>
          <w:p>
            <w:pPr>
              <w:pStyle w:val="831"/>
              <w:spacing w:before="0" w:beforeAutospacing="0" w:after="0" w:afterAutospacing="0" w:line="0" w:lineRule="atLeast"/>
              <w:rPr>
                <w:rFonts w:hint="eastAsia" w:ascii="宋体" w:hAnsi="宋体" w:eastAsia="宋体" w:cs="宋体"/>
              </w:rPr>
            </w:pPr>
            <w:r>
              <w:rPr>
                <w:rFonts w:hint="eastAsia" w:ascii="宋体" w:hAnsi="宋体" w:eastAsia="宋体" w:cs="宋体"/>
                <w:color w:val="ff0000"/>
                <w:sz w:val="28"/>
                <w:szCs w:val="28"/>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u w:val="single"/>
              </w:rPr>
              <w:t xml:space="preserve">***</w:t>
            </w:r>
            <w:r>
              <w:rPr>
                <w:rFonts w:hint="eastAsia" w:ascii="宋体" w:hAnsi="宋体" w:eastAsia="宋体" w:cs="宋体"/>
                <w:color w:val="ff0000"/>
                <w:sz w:val="28"/>
                <w:szCs w:val="28"/>
              </w:rPr>
              <w:t xml:space="preserve">%。</w:t>
            </w:r>
            <w:r/>
          </w:p>
        </w:tc>
      </w:tr>
    </w:tbl>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4"/>
        </w:rPr>
        <w:t xml:space="preserve">1.投标报价采用总承包方式，“投标总报价”应包括所投货物（包含与货物相关的服务）费用、安装调试费、测试验收费、培训费、运行维护费用、税金国内运输保险、办理全套免税手续费用及其他有关的为完成本项目发生的所有费用，磋商文件中另有规定的除外。“投标总报价”数额为各“分项总价”之和。</w:t>
      </w:r>
      <w:r/>
    </w:p>
    <w:p>
      <w:pPr>
        <w:ind w:firstLine="480"/>
        <w:spacing w:line="400" w:lineRule="exact"/>
        <w:rPr>
          <w:rFonts w:hint="eastAsia" w:ascii="宋体" w:hAnsi="宋体" w:eastAsia="宋体" w:cs="宋体"/>
          <w:sz w:val="24"/>
          <w:szCs w:val="21"/>
        </w:rPr>
      </w:pPr>
      <w:r>
        <w:rPr>
          <w:rFonts w:hint="eastAsia" w:ascii="宋体" w:hAnsi="宋体" w:eastAsia="宋体" w:cs="宋体"/>
          <w:sz w:val="24"/>
          <w:szCs w:val="21"/>
        </w:rPr>
        <w:t xml:space="preserve">2.“投标分项报价表”中“投标总报价”数额应当与“开标一览表”中“投标总报价”数额一致。</w:t>
      </w:r>
      <w:r/>
    </w:p>
    <w:p>
      <w:pPr>
        <w:ind w:firstLine="480"/>
        <w:spacing w:line="400" w:lineRule="exact"/>
        <w:rPr>
          <w:rFonts w:hint="eastAsia" w:ascii="宋体" w:hAnsi="宋体" w:eastAsia="宋体" w:cs="宋体"/>
          <w:color w:val="ff0000"/>
          <w:sz w:val="24"/>
          <w:szCs w:val="28"/>
        </w:rPr>
      </w:pPr>
      <w:r>
        <w:rPr>
          <w:rFonts w:hint="eastAsia" w:ascii="宋体" w:hAnsi="宋体" w:eastAsia="宋体" w:cs="宋体"/>
          <w:color w:val="ff0000"/>
          <w:sz w:val="24"/>
          <w:szCs w:val="28"/>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396"/>
        <w:jc w:val="center"/>
        <w:rPr>
          <w:rFonts w:hint="eastAsia" w:ascii="宋体" w:hAnsi="宋体" w:eastAsia="宋体" w:cs="宋体"/>
        </w:rPr>
      </w:pPr>
      <w:r/>
      <w:bookmarkStart w:id="144" w:name="_Toc17418"/>
      <w:r/>
      <w:r/>
    </w:p>
    <w:p>
      <w:pPr>
        <w:rPr>
          <w:rFonts w:hint="eastAsia" w:ascii="宋体" w:hAnsi="宋体" w:eastAsia="宋体" w:cs="宋体"/>
          <w:bCs/>
        </w:rPr>
      </w:pPr>
      <w:r/>
      <w:bookmarkStart w:id="145" w:name="_Toc21129"/>
      <w:r/>
      <w:bookmarkStart w:id="146" w:name="_Toc2747"/>
      <w:r>
        <w:rPr>
          <w:rFonts w:hint="eastAsia" w:ascii="宋体" w:hAnsi="宋体" w:eastAsia="宋体" w:cs="宋体"/>
          <w:bCs/>
        </w:rPr>
        <w:br w:type="page" w:clear="all"/>
      </w:r>
      <w:r/>
    </w:p>
    <w:p>
      <w:pPr>
        <w:pStyle w:val="1394"/>
        <w:rPr>
          <w:rFonts w:hint="eastAsia" w:ascii="Times New Roman" w:hAnsi="Times New Roman"/>
          <w:iCs/>
          <w:szCs w:val="32"/>
          <w:lang w:val="en-US" w:eastAsia="zh-CN"/>
        </w:rPr>
        <w:outlineLvl w:val="1"/>
      </w:pPr>
      <w:r>
        <w:rPr>
          <w:rFonts w:hint="eastAsia" w:ascii="Times New Roman" w:hAnsi="Times New Roman"/>
          <w:iCs/>
          <w:szCs w:val="32"/>
          <w:lang w:val="en-US" w:eastAsia="zh-CN"/>
        </w:rPr>
        <w:t xml:space="preserve">十一、中小企业或残疾人福利性单位声明函</w:t>
      </w:r>
      <w:bookmarkEnd w:id="144"/>
      <w:r/>
      <w:bookmarkEnd w:id="145"/>
      <w:r/>
      <w:bookmarkEnd w:id="146"/>
      <w:r/>
      <w:r/>
    </w:p>
    <w:p>
      <w:pPr>
        <w:pStyle w:val="1406"/>
        <w:jc w:val="center"/>
        <w:rPr>
          <w:rStyle w:val="1056"/>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1406"/>
        <w:jc w:val="center"/>
        <w:rPr>
          <w:rStyle w:val="1056"/>
          <w:rFonts w:hint="eastAsia" w:ascii="宋体" w:hAnsi="宋体" w:eastAsia="宋体" w:cs="宋体"/>
          <w:b/>
          <w:color w:val="auto"/>
          <w:sz w:val="36"/>
          <w:szCs w:val="36"/>
          <w:highlight w:val="none"/>
        </w:rPr>
      </w:pPr>
      <w:r>
        <w:rPr>
          <w:rStyle w:val="1056"/>
          <w:rFonts w:hint="eastAsia" w:ascii="宋体" w:hAnsi="宋体" w:eastAsia="宋体" w:cs="宋体"/>
          <w:b/>
          <w:color w:val="auto"/>
          <w:sz w:val="36"/>
          <w:szCs w:val="36"/>
          <w:highlight w:val="none"/>
        </w:rPr>
        <w:t xml:space="preserve">中小（微）企业声明函（货物）</w:t>
      </w:r>
      <w:r/>
    </w:p>
    <w:p>
      <w:pPr>
        <w:pStyle w:val="1406"/>
        <w:jc w:val="left"/>
        <w:rPr>
          <w:rStyle w:val="1056"/>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406"/>
        <w:ind w:firstLine="480"/>
        <w:jc w:val="left"/>
        <w:spacing w:line="500" w:lineRule="exact"/>
        <w:rPr>
          <w:rStyle w:val="1056"/>
          <w:rFonts w:hint="eastAsia" w:ascii="宋体" w:hAnsi="宋体" w:eastAsia="宋体" w:cs="宋体"/>
          <w:b w:val="0"/>
          <w:bCs/>
          <w:color w:val="auto"/>
          <w:sz w:val="24"/>
          <w:szCs w:val="24"/>
          <w:highlight w:val="none"/>
        </w:rPr>
      </w:pPr>
      <w:r>
        <w:rPr>
          <w:rStyle w:val="1056"/>
          <w:rFonts w:hint="eastAsia" w:ascii="宋体" w:hAnsi="宋体" w:eastAsia="宋体" w:cs="宋体"/>
          <w:b w:val="0"/>
          <w:bCs/>
          <w:color w:val="auto"/>
          <w:sz w:val="24"/>
          <w:szCs w:val="24"/>
          <w:highlight w:val="none"/>
        </w:rPr>
        <w:t xml:space="preserve">本公司（联合体）郑重声明，根据《政府采购促进中小企业发展管理办法》（财库〔2020〕46号）的规定，本公司（联合体）参加</w:t>
      </w:r>
      <w:r>
        <w:rPr>
          <w:rStyle w:val="1056"/>
          <w:rFonts w:hint="eastAsia" w:ascii="宋体" w:hAnsi="宋体" w:eastAsia="宋体" w:cs="宋体"/>
          <w:b w:val="0"/>
          <w:bCs/>
          <w:color w:val="auto"/>
          <w:sz w:val="24"/>
          <w:szCs w:val="24"/>
          <w:highlight w:val="none"/>
          <w:u w:val="single"/>
        </w:rPr>
        <w:t xml:space="preserve"> 单位名称  </w:t>
      </w:r>
      <w:r>
        <w:rPr>
          <w:rStyle w:val="1056"/>
          <w:rFonts w:hint="eastAsia" w:ascii="宋体" w:hAnsi="宋体" w:eastAsia="宋体" w:cs="宋体"/>
          <w:b w:val="0"/>
          <w:bCs/>
          <w:color w:val="auto"/>
          <w:sz w:val="24"/>
          <w:szCs w:val="24"/>
          <w:highlight w:val="none"/>
        </w:rPr>
        <w:t xml:space="preserve">的（</w:t>
      </w:r>
      <w:r>
        <w:rPr>
          <w:rStyle w:val="1056"/>
          <w:rFonts w:hint="eastAsia" w:ascii="宋体" w:hAnsi="宋体" w:eastAsia="宋体" w:cs="宋体"/>
          <w:b w:val="0"/>
          <w:bCs/>
          <w:color w:val="auto"/>
          <w:sz w:val="24"/>
          <w:szCs w:val="24"/>
          <w:highlight w:val="none"/>
          <w:u w:val="single"/>
        </w:rPr>
        <w:t xml:space="preserve">项目名称）</w:t>
      </w:r>
      <w:r>
        <w:rPr>
          <w:rStyle w:val="1056"/>
          <w:rFonts w:hint="eastAsia" w:ascii="宋体" w:hAnsi="宋体" w:eastAsia="宋体" w:cs="宋体"/>
          <w:b w:val="0"/>
          <w:bCs/>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406"/>
        <w:ind w:firstLine="480"/>
        <w:jc w:val="left"/>
        <w:spacing w:line="500" w:lineRule="exact"/>
        <w:rPr>
          <w:rStyle w:val="1056"/>
          <w:rFonts w:hint="eastAsia" w:ascii="宋体" w:hAnsi="宋体" w:eastAsia="宋体" w:cs="宋体"/>
          <w:b w:val="0"/>
          <w:bCs/>
          <w:color w:val="auto"/>
          <w:sz w:val="24"/>
          <w:szCs w:val="24"/>
          <w:highlight w:val="none"/>
          <w:u w:val="single"/>
        </w:rPr>
      </w:pPr>
      <w:r>
        <w:rPr>
          <w:rStyle w:val="1056"/>
          <w:rFonts w:hint="eastAsia" w:ascii="宋体" w:hAnsi="宋体" w:eastAsia="宋体" w:cs="宋体"/>
          <w:b w:val="0"/>
          <w:bCs/>
          <w:color w:val="auto"/>
          <w:sz w:val="24"/>
          <w:szCs w:val="24"/>
          <w:highlight w:val="none"/>
        </w:rPr>
        <w:t xml:space="preserve">1. </w:t>
      </w:r>
      <w:r>
        <w:rPr>
          <w:rStyle w:val="1056"/>
          <w:rFonts w:hint="eastAsia" w:ascii="宋体" w:hAnsi="宋体" w:eastAsia="宋体" w:cs="宋体"/>
          <w:b w:val="0"/>
          <w:bCs/>
          <w:color w:val="auto"/>
          <w:sz w:val="24"/>
          <w:szCs w:val="24"/>
          <w:highlight w:val="none"/>
          <w:u w:val="single"/>
        </w:rPr>
        <w:t xml:space="preserve">标的名称          </w:t>
      </w:r>
      <w:r>
        <w:rPr>
          <w:rStyle w:val="1056"/>
          <w:rFonts w:hint="eastAsia" w:ascii="宋体" w:hAnsi="宋体" w:eastAsia="宋体" w:cs="宋体"/>
          <w:b w:val="0"/>
          <w:bCs/>
          <w:color w:val="auto"/>
          <w:sz w:val="24"/>
          <w:szCs w:val="24"/>
          <w:highlight w:val="none"/>
        </w:rPr>
        <w:t xml:space="preserve">，属于（</w:t>
      </w:r>
      <w:r>
        <w:rPr>
          <w:rStyle w:val="1056"/>
          <w:rFonts w:hint="eastAsia" w:ascii="宋体" w:hAnsi="宋体" w:eastAsia="宋体" w:cs="宋体"/>
          <w:b w:val="0"/>
          <w:bCs/>
          <w:i/>
          <w:color w:val="auto"/>
          <w:sz w:val="24"/>
          <w:szCs w:val="24"/>
          <w:highlight w:val="none"/>
          <w:u w:val="single"/>
        </w:rPr>
        <w:t xml:space="preserve">采购文件中明确的所属行业）</w:t>
      </w:r>
      <w:r>
        <w:rPr>
          <w:rStyle w:val="1056"/>
          <w:rFonts w:hint="eastAsia" w:ascii="宋体" w:hAnsi="宋体" w:eastAsia="宋体" w:cs="宋体"/>
          <w:b w:val="0"/>
          <w:bCs/>
          <w:color w:val="auto"/>
          <w:sz w:val="24"/>
          <w:szCs w:val="24"/>
          <w:highlight w:val="none"/>
          <w:u w:val="single"/>
        </w:rPr>
        <w:t xml:space="preserve">行业</w:t>
      </w:r>
      <w:r>
        <w:rPr>
          <w:rStyle w:val="1056"/>
          <w:rFonts w:hint="eastAsia" w:ascii="宋体" w:hAnsi="宋体" w:eastAsia="宋体" w:cs="宋体"/>
          <w:b w:val="0"/>
          <w:bCs/>
          <w:color w:val="auto"/>
          <w:sz w:val="24"/>
          <w:szCs w:val="24"/>
          <w:highlight w:val="none"/>
        </w:rPr>
        <w:t xml:space="preserve">；制造商为</w:t>
      </w:r>
      <w:r>
        <w:rPr>
          <w:rStyle w:val="1056"/>
          <w:rFonts w:hint="eastAsia" w:ascii="宋体" w:hAnsi="宋体" w:eastAsia="宋体" w:cs="宋体"/>
          <w:b w:val="0"/>
          <w:bCs/>
          <w:color w:val="auto"/>
          <w:sz w:val="24"/>
          <w:szCs w:val="24"/>
          <w:highlight w:val="none"/>
          <w:u w:val="single"/>
        </w:rPr>
        <w:t xml:space="preserve">（企业名称）</w:t>
      </w:r>
      <w:r>
        <w:rPr>
          <w:rStyle w:val="1056"/>
          <w:rFonts w:hint="eastAsia" w:ascii="宋体" w:hAnsi="宋体" w:eastAsia="宋体" w:cs="宋体"/>
          <w:b w:val="0"/>
          <w:bCs/>
          <w:color w:val="auto"/>
          <w:sz w:val="24"/>
          <w:szCs w:val="24"/>
          <w:highlight w:val="none"/>
        </w:rPr>
        <w:t xml:space="preserve">，从业人员</w:t>
      </w:r>
      <w:r>
        <w:rPr>
          <w:rStyle w:val="1056"/>
          <w:rFonts w:hint="eastAsia" w:ascii="宋体" w:hAnsi="宋体" w:eastAsia="宋体" w:cs="宋体"/>
          <w:b w:val="0"/>
          <w:bCs/>
          <w:color w:val="auto"/>
          <w:sz w:val="24"/>
          <w:szCs w:val="24"/>
          <w:highlight w:val="none"/>
          <w:u w:val="single"/>
        </w:rPr>
        <w:t xml:space="preserve">   </w:t>
      </w:r>
      <w:r>
        <w:rPr>
          <w:rStyle w:val="1056"/>
          <w:rFonts w:hint="eastAsia" w:ascii="宋体" w:hAnsi="宋体" w:eastAsia="宋体" w:cs="宋体"/>
          <w:b w:val="0"/>
          <w:bCs/>
          <w:color w:val="auto"/>
          <w:sz w:val="24"/>
          <w:szCs w:val="24"/>
          <w:highlight w:val="none"/>
        </w:rPr>
        <w:t xml:space="preserve">人，营业收入为 </w:t>
      </w:r>
      <w:r>
        <w:rPr>
          <w:rStyle w:val="1056"/>
          <w:rFonts w:hint="eastAsia" w:ascii="宋体" w:hAnsi="宋体" w:eastAsia="宋体" w:cs="宋体"/>
          <w:b w:val="0"/>
          <w:bCs/>
          <w:color w:val="auto"/>
          <w:sz w:val="24"/>
          <w:szCs w:val="24"/>
          <w:highlight w:val="none"/>
          <w:u w:val="single"/>
        </w:rPr>
        <w:t xml:space="preserve">   </w:t>
      </w:r>
      <w:r>
        <w:rPr>
          <w:rStyle w:val="1056"/>
          <w:rFonts w:hint="eastAsia" w:ascii="宋体" w:hAnsi="宋体" w:eastAsia="宋体" w:cs="宋体"/>
          <w:b w:val="0"/>
          <w:bCs/>
          <w:color w:val="auto"/>
          <w:sz w:val="24"/>
          <w:szCs w:val="24"/>
          <w:highlight w:val="none"/>
        </w:rPr>
        <w:t xml:space="preserve">万元，资产总额为</w:t>
      </w:r>
      <w:r>
        <w:rPr>
          <w:rStyle w:val="1056"/>
          <w:rFonts w:hint="eastAsia" w:ascii="宋体" w:hAnsi="宋体" w:eastAsia="宋体" w:cs="宋体"/>
          <w:b w:val="0"/>
          <w:bCs/>
          <w:color w:val="auto"/>
          <w:sz w:val="24"/>
          <w:szCs w:val="24"/>
          <w:highlight w:val="none"/>
          <w:u w:val="single"/>
        </w:rPr>
        <w:t xml:space="preserve">  </w:t>
      </w:r>
      <w:r>
        <w:rPr>
          <w:rStyle w:val="1056"/>
          <w:rFonts w:hint="eastAsia" w:ascii="宋体" w:hAnsi="宋体" w:eastAsia="宋体" w:cs="宋体"/>
          <w:b w:val="0"/>
          <w:bCs/>
          <w:color w:val="auto"/>
          <w:sz w:val="24"/>
          <w:szCs w:val="24"/>
          <w:highlight w:val="none"/>
        </w:rPr>
        <w:t xml:space="preserve">万元</w:t>
      </w:r>
      <w:r>
        <w:rPr>
          <w:rStyle w:val="1056"/>
          <w:rFonts w:hint="eastAsia" w:ascii="宋体" w:hAnsi="宋体" w:eastAsia="宋体" w:cs="宋体"/>
          <w:b w:val="0"/>
          <w:bCs/>
          <w:color w:val="auto"/>
          <w:sz w:val="24"/>
          <w:szCs w:val="24"/>
          <w:highlight w:val="none"/>
          <w:vertAlign w:val="superscript"/>
        </w:rPr>
        <w:t xml:space="preserve">1</w:t>
      </w:r>
      <w:r>
        <w:rPr>
          <w:rStyle w:val="1056"/>
          <w:rFonts w:hint="eastAsia" w:ascii="宋体" w:hAnsi="宋体" w:eastAsia="宋体" w:cs="宋体"/>
          <w:b w:val="0"/>
          <w:bCs/>
          <w:color w:val="auto"/>
          <w:sz w:val="24"/>
          <w:szCs w:val="24"/>
          <w:highlight w:val="none"/>
        </w:rPr>
        <w:t xml:space="preserve">，属于</w:t>
      </w:r>
      <w:r>
        <w:rPr>
          <w:rStyle w:val="1056"/>
          <w:rFonts w:hint="eastAsia" w:ascii="宋体" w:hAnsi="宋体" w:eastAsia="宋体" w:cs="宋体"/>
          <w:b w:val="0"/>
          <w:bCs/>
          <w:color w:val="auto"/>
          <w:sz w:val="24"/>
          <w:szCs w:val="24"/>
          <w:highlight w:val="none"/>
          <w:u w:val="single"/>
        </w:rPr>
        <w:t xml:space="preserve">（中型企业、小型企业、微型企业）；</w:t>
      </w:r>
      <w:r/>
    </w:p>
    <w:p>
      <w:pPr>
        <w:pStyle w:val="1406"/>
        <w:ind w:firstLine="480"/>
        <w:jc w:val="left"/>
        <w:spacing w:line="500" w:lineRule="exact"/>
        <w:rPr>
          <w:rStyle w:val="1056"/>
          <w:rFonts w:hint="eastAsia" w:ascii="宋体" w:hAnsi="宋体" w:eastAsia="宋体" w:cs="宋体"/>
          <w:b w:val="0"/>
          <w:bCs/>
          <w:color w:val="auto"/>
          <w:sz w:val="24"/>
          <w:szCs w:val="24"/>
          <w:highlight w:val="none"/>
          <w:u w:val="single"/>
        </w:rPr>
      </w:pPr>
      <w:r>
        <w:rPr>
          <w:rStyle w:val="1056"/>
          <w:rFonts w:hint="eastAsia" w:ascii="宋体" w:hAnsi="宋体" w:eastAsia="宋体" w:cs="宋体"/>
          <w:b w:val="0"/>
          <w:bCs/>
          <w:color w:val="auto"/>
          <w:sz w:val="24"/>
          <w:szCs w:val="24"/>
          <w:highlight w:val="none"/>
        </w:rPr>
        <w:t xml:space="preserve">2. </w:t>
      </w:r>
      <w:r>
        <w:rPr>
          <w:rStyle w:val="1056"/>
          <w:rFonts w:hint="eastAsia" w:ascii="宋体" w:hAnsi="宋体" w:eastAsia="宋体" w:cs="宋体"/>
          <w:b w:val="0"/>
          <w:bCs/>
          <w:color w:val="auto"/>
          <w:sz w:val="24"/>
          <w:szCs w:val="24"/>
          <w:highlight w:val="none"/>
          <w:u w:val="single"/>
        </w:rPr>
        <w:t xml:space="preserve">标的名称          </w:t>
      </w:r>
      <w:r>
        <w:rPr>
          <w:rStyle w:val="1056"/>
          <w:rFonts w:hint="eastAsia" w:ascii="宋体" w:hAnsi="宋体" w:eastAsia="宋体" w:cs="宋体"/>
          <w:b w:val="0"/>
          <w:bCs/>
          <w:color w:val="auto"/>
          <w:sz w:val="24"/>
          <w:szCs w:val="24"/>
          <w:highlight w:val="none"/>
        </w:rPr>
        <w:t xml:space="preserve">，属于（</w:t>
      </w:r>
      <w:r>
        <w:rPr>
          <w:rStyle w:val="1056"/>
          <w:rFonts w:hint="eastAsia" w:ascii="宋体" w:hAnsi="宋体" w:eastAsia="宋体" w:cs="宋体"/>
          <w:b w:val="0"/>
          <w:bCs/>
          <w:i/>
          <w:color w:val="auto"/>
          <w:sz w:val="24"/>
          <w:szCs w:val="24"/>
          <w:highlight w:val="none"/>
          <w:u w:val="single"/>
        </w:rPr>
        <w:t xml:space="preserve">采购文件中明确的所属行业）</w:t>
      </w:r>
      <w:r>
        <w:rPr>
          <w:rStyle w:val="1056"/>
          <w:rFonts w:hint="eastAsia" w:ascii="宋体" w:hAnsi="宋体" w:eastAsia="宋体" w:cs="宋体"/>
          <w:b w:val="0"/>
          <w:bCs/>
          <w:color w:val="auto"/>
          <w:sz w:val="24"/>
          <w:szCs w:val="24"/>
          <w:highlight w:val="none"/>
          <w:u w:val="single"/>
        </w:rPr>
        <w:t xml:space="preserve">行业</w:t>
      </w:r>
      <w:r>
        <w:rPr>
          <w:rStyle w:val="1056"/>
          <w:rFonts w:hint="eastAsia" w:ascii="宋体" w:hAnsi="宋体" w:eastAsia="宋体" w:cs="宋体"/>
          <w:b w:val="0"/>
          <w:bCs/>
          <w:color w:val="auto"/>
          <w:sz w:val="24"/>
          <w:szCs w:val="24"/>
          <w:highlight w:val="none"/>
        </w:rPr>
        <w:t xml:space="preserve">；制造商为</w:t>
      </w:r>
      <w:r>
        <w:rPr>
          <w:rStyle w:val="1056"/>
          <w:rFonts w:hint="eastAsia" w:ascii="宋体" w:hAnsi="宋体" w:eastAsia="宋体" w:cs="宋体"/>
          <w:b w:val="0"/>
          <w:bCs/>
          <w:color w:val="auto"/>
          <w:sz w:val="24"/>
          <w:szCs w:val="24"/>
          <w:highlight w:val="none"/>
          <w:u w:val="single"/>
        </w:rPr>
        <w:t xml:space="preserve">（企业名称）        </w:t>
      </w:r>
      <w:r>
        <w:rPr>
          <w:rStyle w:val="1056"/>
          <w:rFonts w:hint="eastAsia" w:ascii="宋体" w:hAnsi="宋体" w:eastAsia="宋体" w:cs="宋体"/>
          <w:b w:val="0"/>
          <w:bCs/>
          <w:color w:val="auto"/>
          <w:sz w:val="24"/>
          <w:szCs w:val="24"/>
          <w:highlight w:val="none"/>
        </w:rPr>
        <w:t xml:space="preserve">，从业人员</w:t>
      </w:r>
      <w:r>
        <w:rPr>
          <w:rStyle w:val="1056"/>
          <w:rFonts w:hint="eastAsia" w:ascii="宋体" w:hAnsi="宋体" w:eastAsia="宋体" w:cs="宋体"/>
          <w:b w:val="0"/>
          <w:bCs/>
          <w:color w:val="auto"/>
          <w:sz w:val="24"/>
          <w:szCs w:val="24"/>
          <w:highlight w:val="none"/>
          <w:u w:val="single"/>
        </w:rPr>
        <w:t xml:space="preserve">   </w:t>
      </w:r>
      <w:r>
        <w:rPr>
          <w:rStyle w:val="1056"/>
          <w:rFonts w:hint="eastAsia" w:ascii="宋体" w:hAnsi="宋体" w:eastAsia="宋体" w:cs="宋体"/>
          <w:b w:val="0"/>
          <w:bCs/>
          <w:color w:val="auto"/>
          <w:sz w:val="24"/>
          <w:szCs w:val="24"/>
          <w:highlight w:val="none"/>
        </w:rPr>
        <w:t xml:space="preserve">人，营业收入为 </w:t>
      </w:r>
      <w:r>
        <w:rPr>
          <w:rStyle w:val="1056"/>
          <w:rFonts w:hint="eastAsia" w:ascii="宋体" w:hAnsi="宋体" w:eastAsia="宋体" w:cs="宋体"/>
          <w:b w:val="0"/>
          <w:bCs/>
          <w:color w:val="auto"/>
          <w:sz w:val="24"/>
          <w:szCs w:val="24"/>
          <w:highlight w:val="none"/>
          <w:u w:val="single"/>
        </w:rPr>
        <w:t xml:space="preserve">       </w:t>
      </w:r>
      <w:r>
        <w:rPr>
          <w:rStyle w:val="1056"/>
          <w:rFonts w:hint="eastAsia" w:ascii="宋体" w:hAnsi="宋体" w:eastAsia="宋体" w:cs="宋体"/>
          <w:b w:val="0"/>
          <w:bCs/>
          <w:color w:val="auto"/>
          <w:sz w:val="24"/>
          <w:szCs w:val="24"/>
          <w:highlight w:val="none"/>
        </w:rPr>
        <w:t xml:space="preserve">万元，资产总额为</w:t>
      </w:r>
      <w:r>
        <w:rPr>
          <w:rStyle w:val="1056"/>
          <w:rFonts w:hint="eastAsia" w:ascii="宋体" w:hAnsi="宋体" w:eastAsia="宋体" w:cs="宋体"/>
          <w:b w:val="0"/>
          <w:bCs/>
          <w:color w:val="auto"/>
          <w:sz w:val="24"/>
          <w:szCs w:val="24"/>
          <w:highlight w:val="none"/>
          <w:u w:val="single"/>
        </w:rPr>
        <w:t xml:space="preserve">        </w:t>
      </w:r>
      <w:r>
        <w:rPr>
          <w:rStyle w:val="1056"/>
          <w:rFonts w:hint="eastAsia" w:ascii="宋体" w:hAnsi="宋体" w:eastAsia="宋体" w:cs="宋体"/>
          <w:b w:val="0"/>
          <w:bCs/>
          <w:color w:val="auto"/>
          <w:sz w:val="24"/>
          <w:szCs w:val="24"/>
          <w:highlight w:val="none"/>
        </w:rPr>
        <w:t xml:space="preserve">万元，属于</w:t>
      </w:r>
      <w:r>
        <w:rPr>
          <w:rStyle w:val="1056"/>
          <w:rFonts w:hint="eastAsia" w:ascii="宋体" w:hAnsi="宋体" w:eastAsia="宋体" w:cs="宋体"/>
          <w:b w:val="0"/>
          <w:bCs/>
          <w:color w:val="auto"/>
          <w:sz w:val="24"/>
          <w:szCs w:val="24"/>
          <w:highlight w:val="none"/>
          <w:u w:val="single"/>
        </w:rPr>
        <w:t xml:space="preserve">（中型企业、小型企业、微型企业）；</w:t>
      </w:r>
      <w:r/>
    </w:p>
    <w:p>
      <w:pPr>
        <w:pStyle w:val="1406"/>
        <w:ind w:firstLine="480"/>
        <w:jc w:val="left"/>
        <w:spacing w:line="500" w:lineRule="exact"/>
        <w:rPr>
          <w:rStyle w:val="1056"/>
          <w:rFonts w:hint="eastAsia" w:ascii="宋体" w:hAnsi="宋体" w:eastAsia="宋体" w:cs="宋体"/>
          <w:b w:val="0"/>
          <w:bCs/>
          <w:color w:val="auto"/>
          <w:sz w:val="24"/>
          <w:szCs w:val="24"/>
          <w:highlight w:val="none"/>
        </w:rPr>
      </w:pPr>
      <w:r>
        <w:rPr>
          <w:rStyle w:val="1056"/>
          <w:rFonts w:hint="eastAsia" w:ascii="宋体" w:hAnsi="宋体" w:eastAsia="宋体" w:cs="宋体"/>
          <w:b w:val="0"/>
          <w:bCs/>
          <w:color w:val="auto"/>
          <w:sz w:val="24"/>
          <w:szCs w:val="24"/>
          <w:highlight w:val="none"/>
        </w:rPr>
        <w:t xml:space="preserve">……</w:t>
      </w:r>
      <w:r/>
    </w:p>
    <w:p>
      <w:pPr>
        <w:pStyle w:val="1406"/>
        <w:ind w:firstLine="480"/>
        <w:jc w:val="left"/>
        <w:spacing w:line="500" w:lineRule="exact"/>
        <w:rPr>
          <w:rStyle w:val="1056"/>
          <w:rFonts w:hint="eastAsia" w:ascii="宋体" w:hAnsi="宋体" w:eastAsia="宋体" w:cs="宋体"/>
          <w:b w:val="0"/>
          <w:bCs/>
          <w:color w:val="auto"/>
          <w:sz w:val="24"/>
          <w:szCs w:val="24"/>
          <w:highlight w:val="none"/>
        </w:rPr>
      </w:pPr>
      <w:r>
        <w:rPr>
          <w:rStyle w:val="1056"/>
          <w:rFonts w:hint="eastAsia" w:ascii="宋体" w:hAnsi="宋体" w:eastAsia="宋体" w:cs="宋体"/>
          <w:b w:val="0"/>
          <w:bCs/>
          <w:color w:val="auto"/>
          <w:sz w:val="24"/>
          <w:szCs w:val="24"/>
          <w:highlight w:val="none"/>
        </w:rPr>
        <w:t xml:space="preserve">以上企业，不属于大企业的分支机构，不存在控股股东为大企业的情形，也不存在与大企业的负责人为同一人的情形。</w:t>
      </w:r>
      <w:r/>
    </w:p>
    <w:p>
      <w:pPr>
        <w:pStyle w:val="1406"/>
        <w:ind w:firstLine="480"/>
        <w:jc w:val="left"/>
        <w:spacing w:line="500" w:lineRule="exact"/>
        <w:rPr>
          <w:rStyle w:val="1056"/>
          <w:rFonts w:hint="eastAsia" w:ascii="宋体" w:hAnsi="宋体" w:eastAsia="宋体" w:cs="宋体"/>
          <w:b w:val="0"/>
          <w:bCs/>
          <w:color w:val="auto"/>
          <w:sz w:val="24"/>
          <w:szCs w:val="24"/>
          <w:highlight w:val="none"/>
        </w:rPr>
      </w:pPr>
      <w:r>
        <w:rPr>
          <w:rStyle w:val="1056"/>
          <w:rFonts w:hint="eastAsia" w:ascii="宋体" w:hAnsi="宋体" w:eastAsia="宋体" w:cs="宋体"/>
          <w:b w:val="0"/>
          <w:bCs/>
          <w:color w:val="auto"/>
          <w:sz w:val="24"/>
          <w:szCs w:val="24"/>
          <w:highlight w:val="none"/>
        </w:rPr>
        <w:t xml:space="preserve">本企业对上述声明内容的真实性负责。如有虚假，将依法承担相应责任。</w:t>
      </w:r>
      <w:r/>
    </w:p>
    <w:p>
      <w:pPr>
        <w:ind w:right="7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right="180" w:firstLine="36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企业名称：（加盖CA电子公章）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年___月___日</w:t>
      </w:r>
      <w:r/>
    </w:p>
    <w:p>
      <w:pPr>
        <w:pStyle w:val="1406"/>
        <w:ind w:firstLine="360"/>
        <w:spacing w:line="560" w:lineRule="exact"/>
        <w:rPr>
          <w:rStyle w:val="1056"/>
          <w:rFonts w:hint="eastAsia" w:ascii="宋体" w:hAnsi="宋体" w:eastAsia="宋体" w:cs="宋体"/>
          <w:color w:val="auto"/>
          <w:sz w:val="18"/>
          <w:szCs w:val="18"/>
          <w:highlight w:val="none"/>
        </w:rPr>
      </w:pPr>
      <w:r>
        <w:rPr>
          <w:rStyle w:val="1056"/>
          <w:rFonts w:hint="eastAsia" w:ascii="宋体" w:hAnsi="宋体" w:eastAsia="宋体" w:cs="宋体"/>
          <w:color w:val="auto"/>
          <w:sz w:val="18"/>
          <w:szCs w:val="18"/>
          <w:highlight w:val="none"/>
          <w:vertAlign w:val="superscript"/>
        </w:rPr>
        <w:t xml:space="preserve">1</w:t>
      </w:r>
      <w:r>
        <w:rPr>
          <w:rStyle w:val="1056"/>
          <w:rFonts w:hint="eastAsia" w:ascii="宋体" w:hAnsi="宋体" w:eastAsia="宋体" w:cs="宋体"/>
          <w:color w:val="auto"/>
          <w:sz w:val="18"/>
          <w:szCs w:val="18"/>
          <w:highlight w:val="none"/>
        </w:rPr>
        <w:t xml:space="preserve">从业人员、营业收入、资产总额填报上一年数据，无上一年数据的新成立企业可不填报。</w:t>
      </w:r>
      <w:r/>
    </w:p>
    <w:p>
      <w:pPr>
        <w:rPr>
          <w:rStyle w:val="1056"/>
          <w:rFonts w:hint="eastAsia" w:ascii="宋体" w:hAnsi="宋体" w:eastAsia="宋体" w:cs="宋体"/>
          <w:color w:val="auto"/>
          <w:sz w:val="18"/>
          <w:szCs w:val="18"/>
          <w:highlight w:val="none"/>
        </w:rPr>
      </w:pPr>
      <w:r>
        <w:rPr>
          <w:rStyle w:val="1056"/>
          <w:rFonts w:hint="eastAsia" w:ascii="宋体" w:hAnsi="宋体" w:eastAsia="宋体" w:cs="宋体"/>
          <w:color w:val="auto"/>
          <w:sz w:val="18"/>
          <w:szCs w:val="18"/>
          <w:highlight w:val="none"/>
        </w:rPr>
        <w:br w:type="page" w:clear="all"/>
      </w:r>
      <w:r/>
    </w:p>
    <w:p>
      <w:pPr>
        <w:pStyle w:val="1408"/>
        <w:jc w:val="center"/>
        <w:spacing w:before="151" w:after="151" w:line="600" w:lineRule="exact"/>
        <w:rPr>
          <w:rStyle w:val="1056"/>
          <w:rFonts w:hint="eastAsia" w:ascii="宋体" w:hAnsi="宋体" w:eastAsia="宋体" w:cs="宋体"/>
          <w:b/>
          <w:bCs/>
          <w:color w:val="auto"/>
          <w:sz w:val="32"/>
          <w:szCs w:val="32"/>
          <w:highlight w:val="none"/>
        </w:rPr>
      </w:pPr>
      <w:r>
        <w:rPr>
          <w:rStyle w:val="1056"/>
          <w:rFonts w:hint="eastAsia" w:ascii="宋体" w:hAnsi="宋体" w:eastAsia="宋体" w:cs="宋体"/>
          <w:b/>
          <w:bCs/>
          <w:color w:val="auto"/>
          <w:sz w:val="32"/>
          <w:szCs w:val="32"/>
          <w:highlight w:val="none"/>
        </w:rPr>
        <w:t xml:space="preserve">残疾人福利性单位声明函</w:t>
      </w:r>
      <w:r/>
    </w:p>
    <w:p>
      <w:pPr>
        <w:pStyle w:val="1409"/>
        <w:spacing w:line="588" w:lineRule="exact"/>
        <w:rPr>
          <w:rStyle w:val="1056"/>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152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p>
    <w:p>
      <w:pPr>
        <w:pStyle w:val="1406"/>
        <w:ind w:firstLine="360"/>
        <w:spacing w:line="560" w:lineRule="exact"/>
        <w:rPr>
          <w:rStyle w:val="1056"/>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rPr>
          <w:rFonts w:hint="eastAsia" w:ascii="宋体" w:hAnsi="宋体" w:eastAsia="宋体" w:cs="宋体"/>
          <w:bCs/>
          <w:szCs w:val="32"/>
        </w:rPr>
      </w:pPr>
      <w:r>
        <w:rPr>
          <w:rFonts w:hint="eastAsia" w:ascii="宋体" w:hAnsi="宋体" w:eastAsia="宋体" w:cs="宋体"/>
          <w:bCs/>
          <w:szCs w:val="32"/>
        </w:rPr>
      </w:r>
      <w:r/>
    </w:p>
    <w:p>
      <w:pPr>
        <w:rPr>
          <w:rFonts w:hint="eastAsia" w:ascii="宋体" w:hAnsi="宋体" w:eastAsia="宋体" w:cs="宋体"/>
          <w:bCs/>
          <w:szCs w:val="32"/>
        </w:rPr>
      </w:pPr>
      <w:r>
        <w:rPr>
          <w:rFonts w:hint="eastAsia" w:ascii="宋体" w:hAnsi="宋体" w:eastAsia="宋体" w:cs="宋体"/>
          <w:bCs/>
          <w:szCs w:val="32"/>
        </w:rPr>
        <w:br w:type="page" w:clear="all"/>
      </w:r>
      <w:r/>
    </w:p>
    <w:p>
      <w:pPr>
        <w:pStyle w:val="1394"/>
        <w:rPr>
          <w:rFonts w:hint="eastAsia" w:ascii="Times New Roman" w:hAnsi="Times New Roman"/>
          <w:iCs/>
          <w:szCs w:val="32"/>
          <w:lang w:val="en-US" w:eastAsia="zh-CN"/>
        </w:rPr>
        <w:outlineLvl w:val="1"/>
      </w:pPr>
      <w:r>
        <w:rPr>
          <w:rFonts w:hint="eastAsia" w:ascii="Times New Roman" w:hAnsi="Times New Roman"/>
          <w:iCs/>
          <w:szCs w:val="32"/>
          <w:lang w:val="en-US" w:eastAsia="zh-CN"/>
        </w:rPr>
        <w:t xml:space="preserve">十二、关于符合本国产品标准的声明函</w:t>
      </w:r>
      <w:r/>
    </w:p>
    <w:p>
      <w:pPr>
        <w:jc w:val="center"/>
        <w:rPr>
          <w:rFonts w:hint="eastAsia" w:ascii="宋体" w:hAnsi="宋体" w:eastAsia="宋体" w:cs="宋体"/>
          <w:b/>
          <w:color w:val="ff0000"/>
          <w:sz w:val="24"/>
          <w:szCs w:val="24"/>
        </w:rPr>
      </w:pPr>
      <w:r>
        <w:rPr>
          <w:rFonts w:hint="eastAsia" w:ascii="宋体" w:hAnsi="宋体" w:eastAsia="宋体" w:cs="宋体"/>
          <w:b/>
          <w:color w:val="ff0000"/>
          <w:sz w:val="24"/>
          <w:szCs w:val="24"/>
        </w:rPr>
        <w:t xml:space="preserve"> </w:t>
      </w:r>
      <w:r/>
    </w:p>
    <w:p>
      <w:pPr>
        <w:pStyle w:val="1408"/>
        <w:ind w:firstLine="442"/>
        <w:spacing w:line="480" w:lineRule="exact"/>
        <w:rPr>
          <w:rFonts w:hint="eastAsia" w:ascii="宋体" w:hAnsi="宋体" w:eastAsia="宋体" w:cs="宋体"/>
          <w:sz w:val="24"/>
          <w:szCs w:val="24"/>
        </w:rPr>
      </w:pPr>
      <w:r>
        <w:rPr>
          <w:rFonts w:hint="eastAsia" w:ascii="宋体" w:hAnsi="宋体" w:eastAsia="宋体" w:cs="宋体"/>
          <w:sz w:val="32"/>
        </w:rPr>
        <w:t xml:space="preserve">格式详见响应文件制作工具</w:t>
      </w:r>
      <w:r/>
    </w:p>
    <w:p>
      <w:pPr>
        <w:rPr>
          <w:rFonts w:hint="eastAsia" w:ascii="宋体" w:hAnsi="宋体" w:eastAsia="宋体" w:cs="宋体"/>
          <w:bCs/>
        </w:rPr>
      </w:pPr>
      <w:r>
        <w:rPr>
          <w:rFonts w:hint="eastAsia" w:ascii="宋体" w:hAnsi="宋体" w:eastAsia="宋体" w:cs="宋体"/>
          <w:bCs/>
        </w:rPr>
        <w:br w:type="page" w:clear="all"/>
      </w:r>
      <w:r/>
    </w:p>
    <w:p>
      <w:pPr>
        <w:pStyle w:val="1394"/>
        <w:rPr>
          <w:rFonts w:hint="eastAsia" w:ascii="Times New Roman" w:hAnsi="Times New Roman"/>
          <w:iCs/>
          <w:szCs w:val="32"/>
          <w:lang w:val="en-US" w:eastAsia="zh-CN"/>
        </w:rPr>
        <w:outlineLvl w:val="1"/>
      </w:pPr>
      <w:r>
        <w:rPr>
          <w:rFonts w:hint="eastAsia" w:ascii="Times New Roman" w:hAnsi="Times New Roman"/>
          <w:iCs/>
          <w:szCs w:val="32"/>
          <w:lang w:val="en-US" w:eastAsia="zh-CN"/>
        </w:rPr>
        <w:t xml:space="preserve">十三、技术响应偏离表（技术参数响应）</w:t>
      </w:r>
      <w:r/>
    </w:p>
    <w:tbl>
      <w:tblPr>
        <w:tblStyle w:val="80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rPr>
            </w:pPr>
            <w:r>
              <w:rPr>
                <w:rFonts w:hint="eastAsia" w:ascii="宋体" w:hAnsi="宋体" w:eastAsia="宋体" w:cs="宋体"/>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sz w:val="28"/>
              </w:rPr>
            </w:pPr>
            <w:r>
              <w:rPr>
                <w:rFonts w:hint="eastAsia" w:ascii="宋体" w:hAnsi="宋体" w:eastAsia="宋体" w:cs="宋体"/>
                <w:sz w:val="28"/>
              </w:rPr>
              <w:t xml:space="preserve">偏离情况</w:t>
            </w:r>
            <w:r/>
          </w:p>
          <w:p>
            <w:pPr>
              <w:jc w:val="center"/>
              <w:spacing w:before="100" w:line="400" w:lineRule="exact"/>
              <w:rPr>
                <w:rFonts w:hint="eastAsia" w:ascii="宋体" w:hAnsi="宋体" w:eastAsia="宋体" w:cs="宋体"/>
                <w:sz w:val="28"/>
              </w:rPr>
            </w:pPr>
            <w:r>
              <w:rPr>
                <w:rFonts w:hint="eastAsia" w:ascii="宋体" w:hAnsi="宋体" w:eastAsia="宋体" w:cs="宋体"/>
                <w:sz w:val="28"/>
              </w:rPr>
              <w:t xml:space="preserve">（</w:t>
            </w:r>
            <w:r>
              <w:rPr>
                <w:rFonts w:hint="eastAsia" w:ascii="宋体" w:hAnsi="宋体" w:eastAsia="宋体" w:cs="宋体"/>
                <w:b/>
                <w:sz w:val="24"/>
              </w:rPr>
              <w:t xml:space="preserve">正偏离、负偏离、无偏离</w:t>
            </w:r>
            <w:r>
              <w:rPr>
                <w:rFonts w:hint="eastAsia" w:ascii="宋体" w:hAnsi="宋体" w:eastAsia="宋体" w:cs="宋体"/>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sz w:val="28"/>
                <w:szCs w:val="28"/>
              </w:rPr>
            </w:pPr>
            <w:r>
              <w:rPr>
                <w:rFonts w:hint="eastAsia" w:ascii="宋体" w:hAnsi="宋体" w:eastAsia="宋体" w:cs="宋体"/>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sz w:val="24"/>
              </w:rPr>
            </w:pPr>
            <w:r>
              <w:rPr>
                <w:rFonts w:hint="eastAsia" w:ascii="宋体" w:hAnsi="宋体" w:eastAsia="宋体" w:cs="宋体"/>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rPr>
            </w:pPr>
            <w:r>
              <w:rPr>
                <w:rFonts w:hint="eastAsia" w:ascii="宋体" w:hAnsi="宋体" w:eastAsia="宋体" w:cs="宋体"/>
                <w:sz w:val="24"/>
              </w:rPr>
              <w:t xml:space="preserve"> </w:t>
            </w:r>
            <w:r/>
          </w:p>
        </w:tc>
      </w:tr>
    </w:tbl>
    <w:p>
      <w:pPr>
        <w:jc w:val="right"/>
        <w:spacing w:line="559" w:lineRule="atLeast"/>
        <w:rPr>
          <w:rFonts w:hint="eastAsia" w:ascii="宋体" w:hAnsi="宋体" w:eastAsia="宋体" w:cs="宋体"/>
        </w:rPr>
      </w:pPr>
      <w:r>
        <w:rPr>
          <w:rFonts w:hint="eastAsia" w:ascii="宋体" w:hAnsi="宋体" w:eastAsia="宋体" w:cs="宋体"/>
          <w:sz w:val="24"/>
        </w:rPr>
        <w:t xml:space="preserve">单位名称：</w:t>
      </w:r>
      <w:r>
        <w:rPr>
          <w:rFonts w:hint="eastAsia" w:ascii="宋体" w:hAnsi="宋体" w:eastAsia="宋体" w:cs="宋体"/>
          <w:sz w:val="24"/>
          <w:u w:val="single"/>
        </w:rPr>
        <w:t xml:space="preserve">             </w:t>
      </w:r>
      <w:r>
        <w:rPr>
          <w:rFonts w:hint="eastAsia" w:ascii="宋体" w:hAnsi="宋体" w:eastAsia="宋体" w:cs="宋体"/>
          <w:sz w:val="24"/>
        </w:rPr>
        <w:t xml:space="preserve">（盖CA电子公章）</w:t>
      </w:r>
      <w:r/>
    </w:p>
    <w:p>
      <w:pPr>
        <w:pStyle w:val="831"/>
        <w:ind w:firstLine="482"/>
        <w:jc w:val="both"/>
        <w:spacing w:before="0" w:beforeAutospacing="0" w:after="0" w:afterAutospacing="0" w:line="400" w:lineRule="exact"/>
        <w:widowControl w:val="off"/>
        <w:rPr>
          <w:rFonts w:hint="eastAsia" w:ascii="宋体" w:hAnsi="宋体" w:eastAsia="宋体" w:cs="宋体"/>
          <w:b/>
          <w:bCs/>
          <w:szCs w:val="28"/>
        </w:rPr>
      </w:pPr>
      <w:r>
        <w:rPr>
          <w:rFonts w:hint="eastAsia" w:ascii="宋体" w:hAnsi="宋体" w:eastAsia="宋体" w:cs="宋体"/>
          <w:b/>
          <w:bCs/>
          <w:szCs w:val="28"/>
        </w:rPr>
      </w:r>
      <w:r/>
    </w:p>
    <w:p>
      <w:pPr>
        <w:pStyle w:val="831"/>
        <w:ind w:firstLine="482"/>
        <w:jc w:val="both"/>
        <w:spacing w:before="0" w:beforeAutospacing="0" w:after="0" w:afterAutospacing="0" w:line="400" w:lineRule="exact"/>
        <w:widowControl w:val="off"/>
        <w:rPr>
          <w:rFonts w:hint="eastAsia" w:ascii="宋体" w:hAnsi="宋体" w:eastAsia="宋体" w:cs="宋体"/>
          <w:szCs w:val="20"/>
        </w:rPr>
      </w:pPr>
      <w:r>
        <w:rPr>
          <w:rFonts w:hint="eastAsia" w:ascii="宋体" w:hAnsi="宋体" w:eastAsia="宋体" w:cs="宋体"/>
          <w:b/>
          <w:bCs/>
          <w:szCs w:val="28"/>
        </w:rPr>
        <w:t xml:space="preserve">备注：对采购需求的其他非实质性要求，供应商按所投产品情况在此表中详细列出偏离情况（包括正偏离、负偏离、无偏离）并说明理由；未列明的均视为未响应磋商文件要求。</w:t>
      </w:r>
      <w:bookmarkStart w:id="147" w:name="_Hlk187934629"/>
      <w:r/>
      <w:bookmarkEnd w:id="147"/>
      <w:r/>
      <w:r/>
    </w:p>
    <w:p>
      <w:pPr>
        <w:spacing w:line="400" w:lineRule="exact"/>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rPr>
          <w:rFonts w:hint="eastAsia" w:ascii="宋体" w:hAnsi="宋体" w:eastAsia="宋体" w:cs="宋体"/>
          <w:bCs/>
        </w:rPr>
      </w:pPr>
      <w:r/>
      <w:bookmarkStart w:id="148" w:name="_Toc15871"/>
      <w:r/>
      <w:bookmarkStart w:id="149" w:name="_Toc25337"/>
      <w:r>
        <w:rPr>
          <w:rFonts w:hint="eastAsia" w:ascii="宋体" w:hAnsi="宋体" w:eastAsia="宋体" w:cs="宋体"/>
          <w:bCs/>
        </w:rPr>
        <w:br w:type="page" w:clear="all"/>
      </w:r>
      <w:r/>
    </w:p>
    <w:p>
      <w:pPr>
        <w:pStyle w:val="1394"/>
        <w:rPr>
          <w:rFonts w:hint="eastAsia" w:ascii="Times New Roman" w:hAnsi="Times New Roman"/>
          <w:iCs/>
          <w:szCs w:val="32"/>
          <w:lang w:val="en-US" w:eastAsia="zh-CN"/>
        </w:rPr>
        <w:outlineLvl w:val="1"/>
      </w:pPr>
      <w:r>
        <w:rPr>
          <w:rFonts w:hint="eastAsia" w:ascii="Times New Roman" w:hAnsi="Times New Roman"/>
          <w:iCs/>
          <w:szCs w:val="32"/>
          <w:lang w:val="en-US" w:eastAsia="zh-CN"/>
        </w:rPr>
        <w:t xml:space="preserve">十四、企业业绩</w:t>
      </w:r>
      <w:bookmarkEnd w:id="148"/>
      <w:r/>
      <w:bookmarkEnd w:id="149"/>
      <w:r/>
      <w:r/>
    </w:p>
    <w:p>
      <w:pPr>
        <w:pStyle w:val="1438"/>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438"/>
        <w:jc w:val="center"/>
        <w:rPr>
          <w:rFonts w:hint="eastAsia" w:ascii="宋体" w:hAnsi="宋体" w:eastAsia="宋体" w:cs="宋体"/>
          <w:bCs/>
          <w:sz w:val="32"/>
          <w:szCs w:val="32"/>
        </w:rPr>
      </w:pPr>
      <w:r>
        <w:rPr>
          <w:rFonts w:hint="eastAsia" w:ascii="宋体" w:hAnsi="宋体" w:eastAsia="宋体" w:cs="宋体"/>
          <w:bCs/>
          <w:sz w:val="32"/>
          <w:szCs w:val="32"/>
        </w:rPr>
        <w:t xml:space="preserve">供应商</w:t>
      </w:r>
      <w:r>
        <w:rPr>
          <w:rFonts w:hint="eastAsia" w:ascii="宋体" w:hAnsi="宋体" w:cs="宋体"/>
          <w:bCs/>
          <w:sz w:val="32"/>
          <w:szCs w:val="32"/>
          <w:lang w:val="en-US" w:eastAsia="zh-CN"/>
        </w:rPr>
        <w:t xml:space="preserve">及项目负责人、技术负责人</w:t>
      </w:r>
      <w:r>
        <w:rPr>
          <w:rFonts w:hint="eastAsia" w:ascii="宋体" w:hAnsi="宋体" w:eastAsia="宋体" w:cs="宋体"/>
          <w:bCs/>
          <w:sz w:val="32"/>
          <w:szCs w:val="32"/>
        </w:rPr>
        <w:t xml:space="preserve">承担</w:t>
      </w:r>
      <w:bookmarkStart w:id="150" w:name="_Hlk187935031"/>
      <w:r>
        <w:rPr>
          <w:rFonts w:hint="eastAsia" w:ascii="宋体" w:hAnsi="宋体" w:eastAsia="宋体" w:cs="宋体"/>
          <w:bCs/>
          <w:sz w:val="32"/>
          <w:szCs w:val="32"/>
        </w:rPr>
        <w:t xml:space="preserve">类似项目业绩一览表</w:t>
      </w:r>
      <w:bookmarkEnd w:id="150"/>
      <w:r/>
      <w:r/>
    </w:p>
    <w:tbl>
      <w:tblPr>
        <w:tblStyle w:val="80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39"/>
        <w:gridCol w:w="3473"/>
        <w:gridCol w:w="1417"/>
        <w:gridCol w:w="1701"/>
        <w:gridCol w:w="954"/>
      </w:tblGrid>
      <w:tr>
        <w:trPr>
          <w:jc w:val="center"/>
          <w:trHeight w:val="753"/>
        </w:trPr>
        <w:tc>
          <w:tcPr>
            <w:tcW w:w="1339" w:type="dxa"/>
            <w:vAlign w:val="center"/>
            <w:textDirection w:val="lrTb"/>
            <w:noWrap w:val="false"/>
          </w:tcPr>
          <w:p>
            <w:pPr>
              <w:pStyle w:val="1475"/>
              <w:jc w:val="center"/>
              <w:spacing w:line="500" w:lineRule="exact"/>
              <w:widowControl/>
              <w:rPr>
                <w:rFonts w:hint="eastAsia" w:ascii="宋体" w:hAnsi="宋体" w:eastAsia="宋体" w:cs="宋体"/>
              </w:rPr>
            </w:pPr>
            <w:r>
              <w:rPr>
                <w:rFonts w:hint="eastAsia" w:ascii="宋体" w:hAnsi="宋体" w:eastAsia="宋体" w:cs="宋体"/>
                <w:sz w:val="28"/>
                <w:szCs w:val="28"/>
              </w:rPr>
              <w:t xml:space="preserve">序号</w:t>
            </w:r>
            <w:r/>
          </w:p>
        </w:tc>
        <w:tc>
          <w:tcPr>
            <w:tcW w:w="3473" w:type="dxa"/>
            <w:vAlign w:val="center"/>
            <w:textDirection w:val="lrTb"/>
            <w:noWrap w:val="false"/>
          </w:tcPr>
          <w:p>
            <w:pPr>
              <w:pStyle w:val="1475"/>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项目名称</w:t>
            </w:r>
            <w:r/>
          </w:p>
        </w:tc>
        <w:tc>
          <w:tcPr>
            <w:tcW w:w="1417" w:type="dxa"/>
            <w:vAlign w:val="center"/>
            <w:textDirection w:val="lrTb"/>
            <w:noWrap w:val="false"/>
          </w:tcPr>
          <w:p>
            <w:pPr>
              <w:pStyle w:val="1475"/>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采购单位</w:t>
            </w:r>
            <w:r/>
          </w:p>
        </w:tc>
        <w:tc>
          <w:tcPr>
            <w:tcW w:w="1701" w:type="dxa"/>
            <w:vAlign w:val="center"/>
            <w:textDirection w:val="lrTb"/>
            <w:noWrap w:val="false"/>
          </w:tcPr>
          <w:p>
            <w:pPr>
              <w:pStyle w:val="1475"/>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合同主要标的</w:t>
            </w:r>
            <w:r/>
          </w:p>
        </w:tc>
        <w:tc>
          <w:tcPr>
            <w:tcW w:w="954" w:type="dxa"/>
            <w:vAlign w:val="center"/>
            <w:textDirection w:val="lrTb"/>
            <w:noWrap w:val="false"/>
          </w:tcPr>
          <w:p>
            <w:pPr>
              <w:pStyle w:val="1475"/>
              <w:jc w:val="center"/>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备注</w:t>
            </w:r>
            <w:r/>
          </w:p>
        </w:tc>
      </w:tr>
      <w:tr>
        <w:trPr>
          <w:jc w:val="center"/>
          <w:trHeight w:val="1510"/>
        </w:trPr>
        <w:tc>
          <w:tcPr>
            <w:tcW w:w="1339" w:type="dxa"/>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3473"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339" w:type="dxa"/>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3473"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339" w:type="dxa"/>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3473"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339" w:type="dxa"/>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3473"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417"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1701"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c>
          <w:tcPr>
            <w:tcW w:w="954" w:type="dxa"/>
            <w:vAlign w:val="center"/>
            <w:textDirection w:val="lrTb"/>
            <w:noWrap w:val="false"/>
          </w:tcPr>
          <w:p>
            <w:pPr>
              <w:pStyle w:val="1476"/>
              <w:jc w:val="center"/>
              <w:spacing w:line="560" w:lineRule="exact"/>
              <w:rPr>
                <w:rFonts w:hint="eastAsia" w:ascii="宋体" w:hAnsi="宋体" w:eastAsia="宋体" w:cs="宋体"/>
                <w:sz w:val="28"/>
              </w:rPr>
            </w:pPr>
            <w:r>
              <w:rPr>
                <w:rFonts w:hint="eastAsia" w:ascii="宋体" w:hAnsi="宋体" w:eastAsia="宋体" w:cs="宋体"/>
                <w:sz w:val="28"/>
              </w:rPr>
            </w:r>
            <w:r/>
          </w:p>
        </w:tc>
      </w:tr>
    </w:tbl>
    <w:p>
      <w:pPr>
        <w:ind w:firstLine="210"/>
        <w:spacing w:line="480" w:lineRule="exact"/>
        <w:rPr>
          <w:rFonts w:hint="eastAsia" w:ascii="宋体" w:hAnsi="宋体" w:eastAsia="宋体" w:cs="宋体"/>
          <w:bCs/>
          <w:sz w:val="24"/>
        </w:rPr>
      </w:pPr>
      <w:r>
        <w:rPr>
          <w:rFonts w:hint="eastAsia" w:ascii="宋体" w:hAnsi="宋体" w:eastAsia="宋体" w:cs="宋体"/>
          <w:bCs/>
          <w:sz w:val="24"/>
        </w:rPr>
        <w:t xml:space="preserve">注：1.请填写此表，并按要求上传业绩资料</w:t>
      </w:r>
      <w:r>
        <w:rPr>
          <w:rFonts w:hint="eastAsia" w:ascii="宋体" w:hAnsi="宋体" w:cs="宋体"/>
          <w:bCs/>
          <w:sz w:val="24"/>
          <w:lang w:val="en-US" w:eastAsia="zh-CN"/>
        </w:rPr>
        <w:t xml:space="preserve">原件</w:t>
      </w:r>
      <w:r>
        <w:rPr>
          <w:rFonts w:hint="eastAsia" w:ascii="宋体" w:hAnsi="宋体" w:eastAsia="宋体" w:cs="宋体"/>
          <w:bCs/>
          <w:sz w:val="24"/>
        </w:rPr>
        <w:t xml:space="preserve">电子</w:t>
      </w:r>
      <w:r>
        <w:rPr>
          <w:rFonts w:hint="eastAsia" w:ascii="宋体" w:hAnsi="宋体" w:cs="宋体"/>
          <w:bCs/>
          <w:sz w:val="24"/>
          <w:lang w:val="en-US" w:eastAsia="zh-CN"/>
        </w:rPr>
        <w:t xml:space="preserve">扫描</w:t>
      </w:r>
      <w:r>
        <w:rPr>
          <w:rFonts w:hint="eastAsia" w:ascii="宋体" w:hAnsi="宋体" w:eastAsia="宋体" w:cs="宋体"/>
          <w:bCs/>
          <w:sz w:val="24"/>
        </w:rPr>
        <w:t xml:space="preserve">件。</w:t>
      </w:r>
      <w:r/>
    </w:p>
    <w:p>
      <w:pPr>
        <w:ind w:firstLine="720"/>
        <w:spacing w:line="480" w:lineRule="exact"/>
        <w:rPr>
          <w:rFonts w:hint="eastAsia" w:ascii="宋体" w:hAnsi="宋体" w:eastAsia="宋体" w:cs="宋体"/>
          <w:bCs/>
          <w:sz w:val="24"/>
        </w:rPr>
      </w:pPr>
      <w:r>
        <w:rPr>
          <w:rFonts w:hint="eastAsia" w:ascii="宋体" w:hAnsi="宋体" w:eastAsia="宋体" w:cs="宋体"/>
          <w:bCs/>
          <w:sz w:val="24"/>
        </w:rPr>
        <w:t xml:space="preserve">2.成交后，本表将随成交结果公告公开。</w:t>
      </w:r>
      <w:r/>
    </w:p>
    <w:p>
      <w:pPr>
        <w:rPr>
          <w:rFonts w:hint="eastAsia" w:ascii="宋体" w:hAnsi="宋体" w:eastAsia="宋体" w:cs="宋体"/>
          <w:bCs/>
          <w:sz w:val="24"/>
        </w:rPr>
      </w:pPr>
      <w:r>
        <w:rPr>
          <w:rFonts w:hint="eastAsia" w:ascii="宋体" w:hAnsi="宋体" w:eastAsia="宋体" w:cs="宋体"/>
          <w:bCs/>
          <w:sz w:val="24"/>
        </w:rPr>
        <w:br w:type="page" w:clear="all"/>
      </w:r>
      <w:r/>
    </w:p>
    <w:p>
      <w:pPr>
        <w:pStyle w:val="1394"/>
        <w:numPr>
          <w:ilvl w:val="0"/>
          <w:numId w:val="0"/>
        </w:numPr>
        <w:rPr>
          <w:rFonts w:hint="eastAsia" w:ascii="Times New Roman" w:hAnsi="Times New Roman"/>
          <w:iCs/>
          <w:szCs w:val="32"/>
          <w:lang w:val="en-US" w:eastAsia="zh-CN"/>
        </w:rPr>
        <w:outlineLvl w:val="1"/>
      </w:pPr>
      <w:r>
        <w:rPr>
          <w:rFonts w:hint="eastAsia" w:ascii="Times New Roman" w:hAnsi="Times New Roman" w:eastAsia="黑体" w:cs="Times New Roman"/>
          <w:b/>
          <w:iCs/>
          <w:sz w:val="32"/>
          <w:szCs w:val="32"/>
          <w:lang w:val="en-US" w:eastAsia="zh-CN" w:bidi="ar-SA"/>
        </w:rPr>
        <w:t xml:space="preserve">十</w:t>
      </w:r>
      <w:r>
        <w:rPr>
          <w:rFonts w:hint="eastAsia" w:ascii="Times New Roman" w:hAnsi="Times New Roman" w:cs="Times New Roman"/>
          <w:b/>
          <w:iCs/>
          <w:sz w:val="32"/>
          <w:szCs w:val="32"/>
          <w:lang w:val="en-US" w:eastAsia="zh-CN" w:bidi="ar-SA"/>
        </w:rPr>
        <w:t xml:space="preserve">五</w:t>
      </w:r>
      <w:r>
        <w:rPr>
          <w:rFonts w:hint="eastAsia" w:ascii="Times New Roman" w:hAnsi="Times New Roman" w:eastAsia="黑体" w:cs="Times New Roman"/>
          <w:b/>
          <w:iCs/>
          <w:sz w:val="32"/>
          <w:szCs w:val="32"/>
          <w:lang w:val="en-US" w:eastAsia="zh-CN" w:bidi="ar-SA"/>
        </w:rPr>
        <w:t xml:space="preserve">、</w:t>
      </w:r>
      <w:r>
        <w:rPr>
          <w:rFonts w:hint="eastAsia" w:ascii="Times New Roman" w:hAnsi="Times New Roman"/>
          <w:iCs/>
          <w:szCs w:val="32"/>
          <w:lang w:val="en-US" w:eastAsia="zh-CN"/>
        </w:rPr>
        <w:t xml:space="preserve">项目实施方案</w:t>
      </w:r>
      <w:r/>
    </w:p>
    <w:p>
      <w:pPr>
        <w:pStyle w:val="1394"/>
        <w:numPr>
          <w:ilvl w:val="0"/>
          <w:numId w:val="0"/>
        </w:numPr>
        <w:rPr>
          <w:rFonts w:hint="default" w:ascii="Times New Roman" w:hAnsi="Times New Roman"/>
          <w:iCs/>
          <w:szCs w:val="32"/>
          <w:lang w:val="en-US" w:eastAsia="zh-CN"/>
        </w:rPr>
        <w:outlineLvl w:val="1"/>
      </w:pPr>
      <w:r>
        <w:rPr>
          <w:rFonts w:hint="default" w:ascii="Times New Roman" w:hAnsi="Times New Roman"/>
          <w:iCs/>
          <w:szCs w:val="32"/>
          <w:lang w:val="en-US" w:eastAsia="zh-CN"/>
        </w:rPr>
      </w:r>
      <w:r/>
    </w:p>
    <w:p>
      <w:pPr>
        <w:pStyle w:val="1394"/>
        <w:numPr>
          <w:ilvl w:val="0"/>
          <w:numId w:val="0"/>
        </w:numPr>
        <w:rPr>
          <w:rFonts w:hint="default" w:ascii="Times New Roman" w:hAnsi="Times New Roman"/>
          <w:iCs/>
          <w:szCs w:val="32"/>
          <w:lang w:val="en-US" w:eastAsia="zh-CN"/>
        </w:rPr>
        <w:outlineLvl w:val="1"/>
      </w:pPr>
      <w:r>
        <w:rPr>
          <w:rFonts w:hint="default" w:ascii="Times New Roman" w:hAnsi="Times New Roman"/>
          <w:iCs/>
          <w:szCs w:val="32"/>
          <w:lang w:val="en-US" w:eastAsia="zh-CN"/>
        </w:rPr>
      </w:r>
      <w:r/>
    </w:p>
    <w:p>
      <w:pPr>
        <w:pStyle w:val="1394"/>
        <w:numPr>
          <w:ilvl w:val="0"/>
          <w:numId w:val="0"/>
        </w:numPr>
        <w:rPr>
          <w:rFonts w:hint="default" w:ascii="Times New Roman" w:hAnsi="Times New Roman"/>
          <w:iCs/>
          <w:szCs w:val="32"/>
          <w:lang w:val="en-US" w:eastAsia="zh-CN"/>
        </w:rPr>
        <w:outlineLvl w:val="1"/>
      </w:pPr>
      <w:r>
        <w:rPr>
          <w:rFonts w:hint="default" w:ascii="Times New Roman" w:hAnsi="Times New Roman"/>
          <w:iCs/>
          <w:szCs w:val="32"/>
          <w:lang w:val="en-US" w:eastAsia="zh-CN"/>
        </w:rPr>
      </w:r>
      <w:r/>
    </w:p>
    <w:p>
      <w:pPr>
        <w:pStyle w:val="1394"/>
        <w:numPr>
          <w:ilvl w:val="0"/>
          <w:numId w:val="0"/>
        </w:numPr>
        <w:jc w:val="center"/>
        <w:rPr>
          <w:rFonts w:hint="eastAsia" w:ascii="宋体" w:hAnsi="宋体" w:eastAsia="宋体" w:cs="宋体"/>
          <w:b w:val="0"/>
          <w:bCs/>
          <w:iCs/>
          <w:szCs w:val="32"/>
          <w:lang w:val="en-US" w:eastAsia="zh-CN"/>
        </w:rPr>
        <w:outlineLvl w:val="1"/>
      </w:pPr>
      <w:r>
        <w:rPr>
          <w:rFonts w:hint="eastAsia" w:ascii="宋体" w:hAnsi="宋体" w:eastAsia="宋体" w:cs="宋体"/>
          <w:b w:val="0"/>
          <w:bCs/>
          <w:iCs/>
          <w:szCs w:val="32"/>
          <w:lang w:val="en-US" w:eastAsia="zh-CN"/>
        </w:rPr>
        <w:t xml:space="preserve">格式自拟</w:t>
      </w:r>
      <w:r/>
    </w:p>
    <w:p>
      <w:pPr>
        <w:rPr>
          <w:rFonts w:hint="eastAsia" w:ascii="宋体" w:hAnsi="宋体" w:eastAsia="宋体" w:cs="宋体"/>
          <w:b w:val="0"/>
          <w:bCs/>
          <w:iCs/>
          <w:szCs w:val="32"/>
          <w:lang w:val="en-US" w:eastAsia="zh-CN"/>
        </w:rPr>
      </w:pPr>
      <w:r>
        <w:rPr>
          <w:rFonts w:hint="eastAsia" w:ascii="宋体" w:hAnsi="宋体" w:eastAsia="宋体" w:cs="宋体"/>
          <w:b w:val="0"/>
          <w:bCs/>
          <w:iCs/>
          <w:szCs w:val="32"/>
          <w:lang w:val="en-US" w:eastAsia="zh-CN"/>
        </w:rPr>
        <w:br w:type="page" w:clear="all"/>
      </w:r>
      <w:r/>
    </w:p>
    <w:p>
      <w:pPr>
        <w:pStyle w:val="1394"/>
        <w:numPr>
          <w:ilvl w:val="0"/>
          <w:numId w:val="0"/>
        </w:numPr>
        <w:rPr>
          <w:rFonts w:hint="default" w:ascii="Times New Roman" w:hAnsi="Times New Roman" w:eastAsia="黑体" w:cs="Times New Roman"/>
          <w:b/>
          <w:iCs/>
          <w:sz w:val="32"/>
          <w:szCs w:val="32"/>
          <w:lang w:val="en-US" w:eastAsia="zh-CN" w:bidi="ar-SA"/>
        </w:rPr>
        <w:outlineLvl w:val="1"/>
      </w:pPr>
      <w:r>
        <w:rPr>
          <w:rFonts w:hint="eastAsia" w:ascii="Times New Roman" w:hAnsi="Times New Roman" w:eastAsia="黑体" w:cs="Times New Roman"/>
          <w:b/>
          <w:iCs/>
          <w:sz w:val="32"/>
          <w:szCs w:val="32"/>
          <w:lang w:val="en-US" w:eastAsia="zh-CN" w:bidi="ar-SA"/>
        </w:rPr>
        <w:t xml:space="preserve">十</w:t>
      </w:r>
      <w:r>
        <w:rPr>
          <w:rFonts w:hint="eastAsia" w:ascii="Times New Roman" w:hAnsi="Times New Roman" w:cs="Times New Roman"/>
          <w:b/>
          <w:iCs/>
          <w:sz w:val="32"/>
          <w:szCs w:val="32"/>
          <w:lang w:val="en-US" w:eastAsia="zh-CN" w:bidi="ar-SA"/>
        </w:rPr>
        <w:t xml:space="preserve">六</w:t>
      </w:r>
      <w:r>
        <w:rPr>
          <w:rFonts w:hint="eastAsia" w:ascii="Times New Roman" w:hAnsi="Times New Roman" w:eastAsia="黑体" w:cs="Times New Roman"/>
          <w:b/>
          <w:iCs/>
          <w:sz w:val="32"/>
          <w:szCs w:val="32"/>
          <w:lang w:val="en-US" w:eastAsia="zh-CN" w:bidi="ar-SA"/>
        </w:rPr>
        <w:t xml:space="preserve">、项目组成员</w:t>
      </w:r>
      <w:r/>
    </w:p>
    <w:p>
      <w:pPr>
        <w:pStyle w:val="831"/>
        <w:jc w:val="center"/>
        <w:spacing w:line="600" w:lineRule="exact"/>
        <w:rPr>
          <w:rFonts w:ascii="仿宋" w:hAnsi="仿宋" w:eastAsia="仿宋"/>
          <w:b/>
          <w:bCs/>
          <w:sz w:val="32"/>
        </w:rPr>
      </w:pPr>
      <w:r/>
      <w:bookmarkStart w:id="151" w:name="_Toc26048"/>
      <w:r/>
      <w:bookmarkStart w:id="152" w:name="_Toc9275"/>
      <w:r>
        <w:rPr>
          <w:rFonts w:hint="eastAsia" w:ascii="宋体" w:hAnsi="宋体" w:eastAsia="宋体" w:cs="宋体"/>
          <w:b/>
          <w:bCs/>
          <w:sz w:val="32"/>
          <w:lang w:bidi="ar"/>
        </w:rPr>
        <w:t xml:space="preserve">项目组成员</w:t>
      </w:r>
      <w:r/>
    </w:p>
    <w:tbl>
      <w:tblPr>
        <w:tblStyle w:val="80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7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beforeAutospacing="1" w:line="560" w:lineRule="exact"/>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rPr>
                <w:rFonts w:asciiTheme="minorEastAsia" w:hAnsiTheme="minorEastAsia" w:eastAsiaTheme="minorEastAsia" w:cstheme="minorEastAsia"/>
              </w:rPr>
            </w:pPr>
            <w:r>
              <w:rPr>
                <w:rFonts w:hint="eastAsia" w:asciiTheme="minorEastAsia" w:hAnsiTheme="minorEastAsia" w:eastAsiaTheme="minorEastAsia" w:cstheme="minorEastAsia"/>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rPr>
                <w:rFonts w:asciiTheme="minorEastAsia" w:hAnsiTheme="minorEastAsia" w:eastAsiaTheme="minorEastAsia" w:cstheme="minorEastAsia"/>
              </w:rPr>
            </w:pPr>
            <w:r>
              <w:rPr>
                <w:rFonts w:hint="eastAsia" w:asciiTheme="minorEastAsia" w:hAnsiTheme="minorEastAsia" w:eastAsiaTheme="minorEastAsia" w:cstheme="minorEastAsia"/>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rPr>
                <w:rFonts w:asciiTheme="minorEastAsia" w:hAnsiTheme="minorEastAsia" w:eastAsiaTheme="minorEastAsia" w:cstheme="minorEastAsia"/>
              </w:rPr>
            </w:pPr>
            <w:r>
              <w:rPr>
                <w:rFonts w:hint="eastAsia" w:asciiTheme="minorEastAsia" w:hAnsiTheme="minorEastAsia" w:eastAsiaTheme="minorEastAsia" w:cstheme="minorEastAsia"/>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31"/>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75"/>
              <w:jc w:val="center"/>
              <w:spacing w:line="560" w:lineRule="exact"/>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bl>
    <w:p>
      <w:pPr>
        <w:pStyle w:val="831"/>
        <w:ind w:firstLine="398"/>
        <w:spacing w:line="460" w:lineRule="exact"/>
        <w:rPr>
          <w:rFonts w:ascii="仿宋" w:hAnsi="仿宋" w:eastAsia="仿宋" w:cs="仿宋_GB2312"/>
        </w:rPr>
      </w:pPr>
      <w:r>
        <w:rPr>
          <w:rFonts w:hint="eastAsia" w:asciiTheme="minorEastAsia" w:hAnsiTheme="minorEastAsia" w:eastAsiaTheme="minorEastAsia" w:cstheme="minorEastAsia"/>
          <w:b/>
          <w:lang w:bidi="ar"/>
        </w:rPr>
        <w:t xml:space="preserve">注：如供应商成交，项目组成员必须按本表承诺人员操作，不得随意更换。按磋商文件要求附相关人员证书。</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Times New Roman" w:hAnsi="Times New Roman" w:cs="Times New Roman"/>
          <w:b/>
          <w:iCs/>
          <w:sz w:val="32"/>
          <w:szCs w:val="32"/>
          <w:lang w:val="en-US" w:eastAsia="zh-CN" w:bidi="ar-SA"/>
        </w:rPr>
      </w:pPr>
      <w:r>
        <w:rPr>
          <w:rFonts w:hint="eastAsia" w:ascii="Times New Roman" w:hAnsi="Times New Roman" w:cs="Times New Roman"/>
          <w:b/>
          <w:iCs/>
          <w:sz w:val="32"/>
          <w:szCs w:val="32"/>
          <w:lang w:val="en-US" w:eastAsia="zh-CN" w:bidi="ar-SA"/>
        </w:rPr>
        <w:br w:type="page" w:clear="all"/>
      </w:r>
      <w:r/>
    </w:p>
    <w:p>
      <w:pPr>
        <w:pStyle w:val="1394"/>
        <w:numPr>
          <w:ilvl w:val="0"/>
          <w:numId w:val="0"/>
        </w:numPr>
        <w:rPr>
          <w:rFonts w:hint="eastAsia" w:ascii="宋体" w:hAnsi="宋体" w:eastAsia="宋体" w:cs="宋体"/>
          <w:szCs w:val="32"/>
        </w:rPr>
        <w:outlineLvl w:val="1"/>
      </w:pPr>
      <w:r>
        <w:rPr>
          <w:rFonts w:hint="eastAsia" w:ascii="Times New Roman" w:hAnsi="Times New Roman" w:cs="Times New Roman"/>
          <w:b/>
          <w:iCs/>
          <w:sz w:val="32"/>
          <w:szCs w:val="32"/>
          <w:lang w:val="en-US" w:eastAsia="zh-CN" w:bidi="ar-SA"/>
        </w:rPr>
        <w:t xml:space="preserve">十七</w:t>
      </w:r>
      <w:r>
        <w:rPr>
          <w:rFonts w:hint="eastAsia" w:ascii="Times New Roman" w:hAnsi="Times New Roman" w:eastAsia="黑体" w:cs="Times New Roman"/>
          <w:b/>
          <w:iCs/>
          <w:sz w:val="32"/>
          <w:szCs w:val="32"/>
          <w:lang w:val="en-US" w:eastAsia="zh-CN" w:bidi="ar-SA"/>
        </w:rPr>
        <w:t xml:space="preserve">、磋商所需其他材料</w:t>
      </w:r>
      <w:bookmarkEnd w:id="151"/>
      <w:r/>
      <w:bookmarkEnd w:id="152"/>
      <w:r/>
      <w:r/>
    </w:p>
    <w:p>
      <w:pPr>
        <w:pStyle w:val="1440"/>
        <w:ind w:firstLine="420"/>
        <w:spacing w:line="480" w:lineRule="exact"/>
        <w:rPr>
          <w:rFonts w:hint="eastAsia" w:ascii="宋体" w:hAnsi="宋体" w:eastAsia="宋体" w:cs="宋体"/>
          <w:sz w:val="28"/>
          <w:szCs w:val="28"/>
        </w:rPr>
      </w:pPr>
      <w:r>
        <w:rPr>
          <w:rFonts w:hint="eastAsia" w:ascii="宋体" w:hAnsi="宋体" w:eastAsia="宋体" w:cs="宋体"/>
          <w:sz w:val="28"/>
          <w:szCs w:val="28"/>
        </w:rPr>
        <w:t xml:space="preserve">请在此文档中增加投标所需其他相关内容（包括评分办法、采购需求中涉及的证件证明及其它供应商认为有必要提供的资料），如没有请将此空文档上传。</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14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40"/>
        <w:ind w:firstLine="42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1407"/>
        <w:ind w:firstLine="482"/>
        <w:spacing w:line="360" w:lineRule="auto"/>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40"/>
        </w:rPr>
      </w:pPr>
      <w:r>
        <w:rPr>
          <w:rFonts w:hint="eastAsia" w:ascii="宋体" w:hAnsi="宋体" w:eastAsia="宋体" w:cs="宋体"/>
          <w:sz w:val="40"/>
        </w:rPr>
      </w:r>
      <w:r/>
    </w:p>
    <w:sectPr>
      <w:footerReference w:type="default" r:id="rId10"/>
      <w:footnotePr/>
      <w:endnotePr/>
      <w:type w:val="nextPage"/>
      <w:pgSz w:w="11906"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tabs>
        <w:tab w:val="center" w:pos="4153" w:leader="none"/>
        <w:tab w:val="clear" w:pos="7143" w:leader="none"/>
        <w:tab w:val="right" w:pos="8306" w:leader="none"/>
        <w:tab w:val="clear" w:pos="14287" w:leader="none"/>
      </w:tabs>
      <w:rPr>
        <w:rStyle w:val="837"/>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2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68</w:t>
                          </w:r>
                          <w:r>
                            <w:fldChar w:fldCharType="end"/>
                          </w:r>
                          <w:r/>
                        </w:p>
                      </w:txbxContent>
                    </wps:txbx>
                    <wps:bodyPr wrap="none" lIns="0" tIns="0" rIns="0" bIns="0" upright="0">
                      <a:spAutoFit/>
                    </wps:bodyPr>
                  </wps:wsp>
                </a:graphicData>
              </a:graphic>
            </wp:anchor>
          </w:drawing>
        </mc:Choice>
        <mc:Fallback>
          <w:pict>
            <v:shape id="shape 0" o:spid="_x0000_s0" o:spt="1" type="#_x0000_t1" style="position:absolute;z-index:251662336;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2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p>
    <w:pPr>
      <w:pStyle w:val="820"/>
      <w:ind w:right="36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0"/>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0"/>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0"/>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2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9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21"/>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8"/>
  </w:num>
  <w:num w:numId="4">
    <w:abstractNumId w:val="1"/>
  </w:num>
  <w:num w:numId="5">
    <w:abstractNumId w:val="3"/>
  </w:num>
  <w:num w:numId="6">
    <w:abstractNumId w:val="10"/>
  </w:num>
  <w:num w:numId="7">
    <w:abstractNumId w:val="5"/>
    <w:lvlOverride w:ilvl="0">
      <w:startOverride w:val="1"/>
    </w:lvlOverride>
  </w:num>
  <w:num w:numId="8">
    <w:abstractNumId w:val="11"/>
    <w:lvlOverride w:ilvl="0">
      <w:startOverride w:val="1"/>
    </w:lvlOverride>
  </w:num>
  <w:num w:numId="9">
    <w:abstractNumId w:val="0"/>
    <w:lvlOverride w:ilvl="0">
      <w:startOverride w:val="1"/>
    </w:lvlOverride>
  </w:num>
  <w:num w:numId="10">
    <w:abstractNumId w:val="9"/>
    <w:lvlOverride w:ilvl="0">
      <w:startOverride w:val="2"/>
    </w:lvlOverride>
  </w:num>
  <w:num w:numId="11">
    <w:abstractNumId w:val="7"/>
    <w:lvlOverride w:ilvl="0">
      <w:startOverride w:val="6"/>
    </w:lvlOverride>
  </w:num>
  <w:num w:numId="12">
    <w:abstractNumId w:val="6"/>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6">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5">
    <w:name w:val="TOC Heading"/>
    <w:uiPriority w:val="39"/>
    <w:unhideWhenUsed/>
  </w:style>
  <w:style w:type="paragraph" w:styleId="79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97">
    <w:name w:val="Heading 1"/>
    <w:basedOn w:val="796"/>
    <w:next w:val="796"/>
    <w:link w:val="1483"/>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808"/>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uiPriority w:val="9"/>
    <w:unhideWhenUsed/>
    <w:qFormat/>
    <w:pPr>
      <w:keepLines/>
      <w:keepNext/>
      <w:spacing w:before="320" w:after="200"/>
      <w:outlineLvl w:val="5"/>
    </w:pPr>
    <w:rPr>
      <w:rFonts w:ascii="Arial" w:hAnsi="Arial" w:eastAsia="Arial" w:cs="Arial"/>
      <w:b/>
      <w:bCs/>
      <w:sz w:val="22"/>
    </w:rPr>
  </w:style>
  <w:style w:type="paragraph" w:styleId="803">
    <w:name w:val="Heading 7"/>
    <w:basedOn w:val="796"/>
    <w:next w:val="796"/>
    <w:uiPriority w:val="9"/>
    <w:unhideWhenUsed/>
    <w:qFormat/>
    <w:pPr>
      <w:keepLines/>
      <w:keepNext/>
      <w:spacing w:before="320" w:after="200"/>
      <w:outlineLvl w:val="6"/>
    </w:pPr>
    <w:rPr>
      <w:rFonts w:ascii="Arial" w:hAnsi="Arial" w:eastAsia="Arial" w:cs="Arial"/>
      <w:b/>
      <w:bCs/>
      <w:i/>
      <w:iCs/>
      <w:sz w:val="22"/>
    </w:rPr>
  </w:style>
  <w:style w:type="paragraph" w:styleId="804">
    <w:name w:val="Heading 8"/>
    <w:basedOn w:val="796"/>
    <w:next w:val="796"/>
    <w:uiPriority w:val="9"/>
    <w:unhideWhenUsed/>
    <w:qFormat/>
    <w:pPr>
      <w:keepLines/>
      <w:keepNext/>
      <w:spacing w:before="320" w:after="200"/>
      <w:outlineLvl w:val="7"/>
    </w:pPr>
    <w:rPr>
      <w:rFonts w:ascii="Arial" w:hAnsi="Arial" w:eastAsia="Arial" w:cs="Arial"/>
      <w:i/>
      <w:iCs/>
      <w:sz w:val="22"/>
    </w:rPr>
  </w:style>
  <w:style w:type="paragraph" w:styleId="805">
    <w:name w:val="Heading 9"/>
    <w:basedOn w:val="796"/>
    <w:next w:val="796"/>
    <w:uiPriority w:val="9"/>
    <w:unhideWhenUsed/>
    <w:qFormat/>
    <w:pPr>
      <w:keepLines/>
      <w:keepNext/>
      <w:spacing w:before="320" w:after="200"/>
      <w:outlineLvl w:val="8"/>
    </w:pPr>
    <w:rPr>
      <w:rFonts w:ascii="Arial" w:hAnsi="Arial" w:eastAsia="Arial" w:cs="Arial"/>
      <w:i/>
      <w:iCs/>
      <w:szCs w:val="21"/>
    </w:rPr>
  </w:style>
  <w:style w:type="character" w:styleId="806" w:default="1">
    <w:name w:val="Default Paragraph Font"/>
    <w:uiPriority w:val="1"/>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Normal Indent"/>
    <w:basedOn w:val="796"/>
    <w:uiPriority w:val="0"/>
    <w:qFormat/>
    <w:pPr>
      <w:ind w:firstLine="420"/>
    </w:pPr>
    <w:rPr>
      <w:szCs w:val="21"/>
    </w:rPr>
  </w:style>
  <w:style w:type="paragraph" w:styleId="809">
    <w:name w:val="toc 7"/>
    <w:basedOn w:val="796"/>
    <w:next w:val="796"/>
    <w:uiPriority w:val="39"/>
    <w:qFormat/>
    <w:pPr>
      <w:ind w:left="1260"/>
      <w:jc w:val="left"/>
    </w:pPr>
    <w:rPr>
      <w:rFonts w:cs="Calibri"/>
      <w:sz w:val="18"/>
      <w:szCs w:val="18"/>
    </w:rPr>
  </w:style>
  <w:style w:type="paragraph" w:styleId="810">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1">
    <w:name w:val="annotation text"/>
    <w:basedOn w:val="796"/>
    <w:link w:val="1521"/>
    <w:uiPriority w:val="99"/>
    <w:semiHidden/>
    <w:unhideWhenUsed/>
    <w:qFormat/>
    <w:pPr>
      <w:jc w:val="left"/>
    </w:pPr>
  </w:style>
  <w:style w:type="paragraph" w:styleId="812">
    <w:name w:val="Body Text"/>
    <w:basedOn w:val="796"/>
    <w:uiPriority w:val="0"/>
    <w:qFormat/>
    <w:pPr>
      <w:ind w:firstLine="600"/>
    </w:pPr>
    <w:rPr>
      <w:rFonts w:ascii="Times New Roman" w:hAnsi="Times New Roman" w:eastAsia="方正仿宋_GBK"/>
      <w:b/>
      <w:bCs/>
      <w:color w:val="ff0000"/>
      <w:sz w:val="30"/>
      <w:szCs w:val="30"/>
    </w:rPr>
  </w:style>
  <w:style w:type="paragraph" w:styleId="813">
    <w:name w:val="Body Text Indent"/>
    <w:basedOn w:val="796"/>
    <w:uiPriority w:val="0"/>
    <w:unhideWhenUsed/>
    <w:qFormat/>
    <w:pPr>
      <w:ind w:left="420"/>
      <w:spacing w:after="120"/>
    </w:pPr>
  </w:style>
  <w:style w:type="paragraph" w:styleId="814">
    <w:name w:val="toc 5"/>
    <w:basedOn w:val="796"/>
    <w:next w:val="796"/>
    <w:uiPriority w:val="39"/>
    <w:qFormat/>
    <w:pPr>
      <w:ind w:left="840"/>
      <w:jc w:val="left"/>
    </w:pPr>
    <w:rPr>
      <w:rFonts w:cs="Calibri"/>
      <w:sz w:val="18"/>
      <w:szCs w:val="18"/>
    </w:rPr>
  </w:style>
  <w:style w:type="paragraph" w:styleId="815">
    <w:name w:val="toc 3"/>
    <w:basedOn w:val="796"/>
    <w:next w:val="796"/>
    <w:uiPriority w:val="39"/>
    <w:qFormat/>
    <w:pPr>
      <w:ind w:left="420"/>
      <w:jc w:val="left"/>
    </w:pPr>
    <w:rPr>
      <w:rFonts w:cs="Calibri"/>
      <w:i/>
      <w:iCs/>
      <w:sz w:val="20"/>
      <w:szCs w:val="20"/>
    </w:rPr>
  </w:style>
  <w:style w:type="paragraph" w:styleId="816">
    <w:name w:val="Plain Text"/>
    <w:basedOn w:val="796"/>
    <w:link w:val="1522"/>
    <w:uiPriority w:val="99"/>
    <w:qFormat/>
    <w:rPr>
      <w:rFonts w:ascii="宋体" w:hAnsi="Courier New" w:cs="Courier New"/>
      <w:szCs w:val="21"/>
    </w:rPr>
  </w:style>
  <w:style w:type="paragraph" w:styleId="817">
    <w:name w:val="toc 8"/>
    <w:basedOn w:val="796"/>
    <w:next w:val="796"/>
    <w:uiPriority w:val="39"/>
    <w:qFormat/>
    <w:pPr>
      <w:ind w:left="1470"/>
      <w:jc w:val="left"/>
    </w:pPr>
    <w:rPr>
      <w:rFonts w:cs="Calibri"/>
      <w:sz w:val="18"/>
      <w:szCs w:val="18"/>
    </w:rPr>
  </w:style>
  <w:style w:type="paragraph" w:styleId="818">
    <w:name w:val="endnote text"/>
    <w:basedOn w:val="796"/>
    <w:uiPriority w:val="99"/>
    <w:semiHidden/>
    <w:unhideWhenUsed/>
    <w:qFormat/>
    <w:rPr>
      <w:sz w:val="20"/>
    </w:rPr>
  </w:style>
  <w:style w:type="paragraph" w:styleId="819">
    <w:name w:val="Balloon Text"/>
    <w:basedOn w:val="796"/>
    <w:link w:val="1482"/>
    <w:uiPriority w:val="99"/>
    <w:semiHidden/>
    <w:unhideWhenUsed/>
    <w:qFormat/>
    <w:rPr>
      <w:rFonts w:ascii="宋体"/>
      <w:sz w:val="18"/>
      <w:szCs w:val="18"/>
    </w:rPr>
  </w:style>
  <w:style w:type="paragraph" w:styleId="820">
    <w:name w:val="Footer"/>
    <w:basedOn w:val="796"/>
    <w:uiPriority w:val="99"/>
    <w:unhideWhenUsed/>
    <w:qFormat/>
    <w:pPr>
      <w:tabs>
        <w:tab w:val="center" w:pos="7143" w:leader="none"/>
        <w:tab w:val="right" w:pos="14287" w:leader="none"/>
      </w:tabs>
    </w:pPr>
  </w:style>
  <w:style w:type="paragraph" w:styleId="821">
    <w:name w:val="Header"/>
    <w:basedOn w:val="796"/>
    <w:link w:val="1493"/>
    <w:uiPriority w:val="99"/>
    <w:unhideWhenUsed/>
    <w:qFormat/>
    <w:pPr>
      <w:tabs>
        <w:tab w:val="center" w:pos="7143" w:leader="none"/>
        <w:tab w:val="right" w:pos="14287" w:leader="none"/>
      </w:tabs>
    </w:pPr>
  </w:style>
  <w:style w:type="paragraph" w:styleId="822">
    <w:name w:val="toc 1"/>
    <w:basedOn w:val="796"/>
    <w:next w:val="796"/>
    <w:uiPriority w:val="39"/>
    <w:qFormat/>
    <w:pPr>
      <w:jc w:val="left"/>
      <w:spacing w:before="120" w:after="120"/>
    </w:pPr>
    <w:rPr>
      <w:rFonts w:cs="Calibri"/>
      <w:b/>
      <w:bCs/>
      <w:caps/>
      <w:sz w:val="20"/>
      <w:szCs w:val="20"/>
    </w:rPr>
  </w:style>
  <w:style w:type="paragraph" w:styleId="823">
    <w:name w:val="toc 4"/>
    <w:basedOn w:val="796"/>
    <w:next w:val="796"/>
    <w:uiPriority w:val="39"/>
    <w:qFormat/>
    <w:pPr>
      <w:ind w:left="630"/>
      <w:jc w:val="left"/>
    </w:pPr>
    <w:rPr>
      <w:rFonts w:cs="Calibri"/>
      <w:sz w:val="18"/>
      <w:szCs w:val="18"/>
    </w:rPr>
  </w:style>
  <w:style w:type="paragraph" w:styleId="824">
    <w:name w:val="Subtitle"/>
    <w:basedOn w:val="796"/>
    <w:next w:val="796"/>
    <w:uiPriority w:val="11"/>
    <w:qFormat/>
    <w:pPr>
      <w:spacing w:before="200" w:after="200"/>
    </w:pPr>
    <w:rPr>
      <w:sz w:val="24"/>
      <w:szCs w:val="24"/>
    </w:rPr>
  </w:style>
  <w:style w:type="paragraph" w:styleId="825">
    <w:name w:val="footnote text"/>
    <w:basedOn w:val="796"/>
    <w:uiPriority w:val="99"/>
    <w:semiHidden/>
    <w:unhideWhenUsed/>
    <w:qFormat/>
    <w:pPr>
      <w:spacing w:after="40"/>
    </w:pPr>
    <w:rPr>
      <w:sz w:val="18"/>
    </w:rPr>
  </w:style>
  <w:style w:type="paragraph" w:styleId="826">
    <w:name w:val="toc 6"/>
    <w:basedOn w:val="796"/>
    <w:next w:val="796"/>
    <w:uiPriority w:val="39"/>
    <w:qFormat/>
    <w:pPr>
      <w:ind w:left="1050"/>
      <w:jc w:val="left"/>
    </w:pPr>
    <w:rPr>
      <w:rFonts w:cs="Calibri"/>
      <w:sz w:val="18"/>
      <w:szCs w:val="18"/>
    </w:rPr>
  </w:style>
  <w:style w:type="paragraph" w:styleId="827">
    <w:name w:val="table of figures"/>
    <w:basedOn w:val="796"/>
    <w:next w:val="796"/>
    <w:uiPriority w:val="99"/>
    <w:unhideWhenUsed/>
    <w:qFormat/>
  </w:style>
  <w:style w:type="paragraph" w:styleId="828">
    <w:name w:val="toc 2"/>
    <w:basedOn w:val="796"/>
    <w:next w:val="796"/>
    <w:uiPriority w:val="39"/>
    <w:qFormat/>
    <w:pPr>
      <w:ind w:left="210"/>
      <w:jc w:val="left"/>
    </w:pPr>
    <w:rPr>
      <w:rFonts w:cs="Calibri"/>
      <w:smallCaps/>
      <w:sz w:val="20"/>
      <w:szCs w:val="20"/>
    </w:rPr>
  </w:style>
  <w:style w:type="paragraph" w:styleId="829">
    <w:name w:val="toc 9"/>
    <w:basedOn w:val="796"/>
    <w:next w:val="796"/>
    <w:uiPriority w:val="39"/>
    <w:qFormat/>
    <w:pPr>
      <w:ind w:left="1680"/>
      <w:jc w:val="left"/>
    </w:pPr>
    <w:rPr>
      <w:rFonts w:cs="Calibri"/>
      <w:sz w:val="18"/>
      <w:szCs w:val="18"/>
    </w:rPr>
  </w:style>
  <w:style w:type="paragraph" w:styleId="830">
    <w:name w:val="Body Text 2"/>
    <w:basedOn w:val="796"/>
    <w:next w:val="812"/>
    <w:uiPriority w:val="0"/>
    <w:qFormat/>
  </w:style>
  <w:style w:type="paragraph" w:styleId="831">
    <w:name w:val="Normal (Web)"/>
    <w:basedOn w:val="796"/>
    <w:uiPriority w:val="99"/>
    <w:qFormat/>
    <w:pPr>
      <w:jc w:val="left"/>
      <w:spacing w:before="100" w:beforeAutospacing="1" w:after="100" w:afterAutospacing="1"/>
      <w:widowControl/>
    </w:pPr>
    <w:rPr>
      <w:rFonts w:ascii="宋体" w:hAnsi="宋体" w:cs="宋体"/>
      <w:sz w:val="24"/>
      <w:szCs w:val="24"/>
    </w:rPr>
  </w:style>
  <w:style w:type="paragraph" w:styleId="832">
    <w:name w:val="Title"/>
    <w:basedOn w:val="796"/>
    <w:next w:val="796"/>
    <w:uiPriority w:val="10"/>
    <w:qFormat/>
    <w:pPr>
      <w:contextualSpacing/>
      <w:spacing w:before="300" w:after="200"/>
    </w:pPr>
    <w:rPr>
      <w:sz w:val="48"/>
      <w:szCs w:val="48"/>
    </w:rPr>
  </w:style>
  <w:style w:type="paragraph" w:styleId="833">
    <w:name w:val="annotation subject"/>
    <w:basedOn w:val="811"/>
    <w:next w:val="811"/>
    <w:link w:val="1526"/>
    <w:uiPriority w:val="99"/>
    <w:semiHidden/>
    <w:unhideWhenUsed/>
    <w:qFormat/>
    <w:rPr>
      <w:b/>
      <w:bCs/>
    </w:r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Strong"/>
    <w:uiPriority w:val="0"/>
    <w:qFormat/>
    <w:rPr>
      <w:b/>
      <w:bCs/>
    </w:rPr>
  </w:style>
  <w:style w:type="character" w:styleId="836">
    <w:name w:val="endnote reference"/>
    <w:uiPriority w:val="99"/>
    <w:semiHidden/>
    <w:unhideWhenUsed/>
    <w:qFormat/>
    <w:rPr>
      <w:vertAlign w:val="superscript"/>
    </w:rPr>
  </w:style>
  <w:style w:type="character" w:styleId="837">
    <w:name w:val="page number"/>
    <w:uiPriority w:val="0"/>
    <w:qFormat/>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annotation reference"/>
    <w:basedOn w:val="806"/>
    <w:uiPriority w:val="99"/>
    <w:semiHidden/>
    <w:unhideWhenUsed/>
    <w:qFormat/>
    <w:rPr>
      <w:sz w:val="21"/>
      <w:szCs w:val="21"/>
    </w:rPr>
  </w:style>
  <w:style w:type="character" w:styleId="840">
    <w:name w:val="footnote reference"/>
    <w:uiPriority w:val="99"/>
    <w:unhideWhenUsed/>
    <w:qFormat/>
    <w:rPr>
      <w:vertAlign w:val="superscript"/>
    </w:rPr>
  </w:style>
  <w:style w:type="paragraph" w:styleId="841" w:customStyle="1">
    <w:name w:val="标题 51"/>
    <w:basedOn w:val="796"/>
    <w:next w:val="79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table" w:styleId="842" w:customStyle="1">
    <w:name w:val="无格式表格 11"/>
    <w:basedOn w:val="8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普通表格11"/>
    <w:uiPriority w:val="99"/>
    <w:unhideWhenUsed/>
    <w:qFormat/>
    <w:tblPr>
      <w:tblCellMar>
        <w:left w:w="0" w:type="dxa"/>
        <w:top w:w="0" w:type="dxa"/>
        <w:right w:w="0" w:type="dxa"/>
        <w:bottom w:w="0" w:type="dxa"/>
      </w:tblCellMar>
    </w:tblPr>
  </w:style>
  <w:style w:type="table" w:styleId="844" w:customStyle="1">
    <w:name w:val="无格式表格 21"/>
    <w:basedOn w:val="8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8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8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84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8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网格表 2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网格表 31"/>
    <w:basedOn w:val="8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8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网格表 5 深色1"/>
    <w:basedOn w:val="8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网格表 6 彩色1"/>
    <w:basedOn w:val="8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网格表 7 彩色1"/>
    <w:basedOn w:val="8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清单表 1 浅色1"/>
    <w:basedOn w:val="84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清单表 21"/>
    <w:basedOn w:val="8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清单表 3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清单表 41"/>
    <w:basedOn w:val="8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5 深色1"/>
    <w:basedOn w:val="8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basedOn w:val="84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清单表 7 彩色1"/>
    <w:basedOn w:val="84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2" w:customStyle="1">
    <w:name w:val="TOC 标题1"/>
    <w:uiPriority w:val="39"/>
    <w:unhideWhenUsed/>
    <w:qFormat/>
    <w:rPr>
      <w:rFonts w:ascii="Times New Roman" w:hAnsi="Times New Roman" w:eastAsia="宋体" w:cs="Times New Roman"/>
      <w:lang w:val="en-US" w:eastAsia="zh-CN" w:bidi="ar-SA"/>
    </w:rPr>
  </w:style>
  <w:style w:type="paragraph" w:styleId="863" w:customStyle="1">
    <w:name w:val="Normal1"/>
    <w:next w:val="864"/>
    <w:uiPriority w:val="0"/>
    <w:qFormat/>
    <w:rPr>
      <w:rFonts w:ascii="Times New Roman" w:hAnsi="Times New Roman" w:eastAsia="Times New Roman" w:cs="Times New Roman"/>
      <w:sz w:val="24"/>
      <w:szCs w:val="24"/>
      <w:lang w:val="en-US" w:eastAsia="zh-CN" w:bidi="ar-SA"/>
    </w:rPr>
  </w:style>
  <w:style w:type="paragraph" w:styleId="864" w:customStyle="1">
    <w:name w:val="标题 311"/>
    <w:basedOn w:val="796"/>
    <w:next w:val="865"/>
    <w:uiPriority w:val="9"/>
    <w:qFormat/>
    <w:pPr>
      <w:keepLines/>
      <w:keepNext/>
      <w:spacing w:before="320" w:after="200"/>
      <w:outlineLvl w:val="2"/>
    </w:pPr>
    <w:rPr>
      <w:rFonts w:ascii="Arial" w:hAnsi="Arial" w:eastAsia="Arial" w:cs="Arial"/>
      <w:sz w:val="30"/>
      <w:szCs w:val="30"/>
    </w:rPr>
  </w:style>
  <w:style w:type="paragraph" w:styleId="865" w:customStyle="1">
    <w:name w:val="Normal_19"/>
    <w:uiPriority w:val="0"/>
    <w:qFormat/>
    <w:rPr>
      <w:rFonts w:ascii="Times New Roman" w:hAnsi="Times New Roman" w:eastAsia="Times New Roman" w:cs="Times New Roman"/>
      <w:sz w:val="24"/>
      <w:szCs w:val="24"/>
      <w:lang w:val="en-US" w:eastAsia="zh-CN" w:bidi="ar-SA"/>
    </w:rPr>
  </w:style>
  <w:style w:type="paragraph" w:styleId="866" w:customStyle="1">
    <w:name w:val="Normal11"/>
    <w:next w:val="867"/>
    <w:uiPriority w:val="0"/>
    <w:qFormat/>
    <w:pPr>
      <w:jc w:val="both"/>
      <w:widowControl w:val="off"/>
    </w:pPr>
    <w:rPr>
      <w:rFonts w:ascii="Times New Roman" w:hAnsi="Times New Roman" w:eastAsia="宋体" w:cs="Times New Roman"/>
      <w:szCs w:val="21"/>
      <w:lang w:val="en-US" w:eastAsia="zh-CN" w:bidi="ar-SA"/>
    </w:rPr>
  </w:style>
  <w:style w:type="paragraph" w:styleId="867" w:customStyle="1">
    <w:name w:val="Body Text First Indent1"/>
    <w:basedOn w:val="868"/>
    <w:uiPriority w:val="99"/>
    <w:unhideWhenUsed/>
    <w:qFormat/>
    <w:pPr>
      <w:ind w:firstLine="420"/>
    </w:pPr>
  </w:style>
  <w:style w:type="paragraph" w:styleId="868" w:customStyle="1">
    <w:name w:val="Body Text1"/>
    <w:basedOn w:val="866"/>
    <w:uiPriority w:val="99"/>
    <w:unhideWhenUsed/>
    <w:qFormat/>
    <w:pPr>
      <w:spacing w:after="120"/>
    </w:pPr>
  </w:style>
  <w:style w:type="paragraph" w:styleId="869" w:customStyle="1">
    <w:name w:val="正文1"/>
    <w:next w:val="867"/>
    <w:uiPriority w:val="0"/>
    <w:qFormat/>
    <w:pPr>
      <w:jc w:val="both"/>
      <w:widowControl w:val="off"/>
    </w:pPr>
    <w:rPr>
      <w:rFonts w:ascii="Times New Roman" w:hAnsi="Times New Roman" w:eastAsia="宋体" w:cs="Times New Roman"/>
      <w:szCs w:val="21"/>
      <w:lang w:val="en-US" w:eastAsia="zh-CN" w:bidi="ar-SA"/>
    </w:rPr>
  </w:style>
  <w:style w:type="paragraph" w:styleId="870" w:customStyle="1">
    <w:name w:val="正文2"/>
    <w:next w:val="867"/>
    <w:uiPriority w:val="0"/>
    <w:qFormat/>
    <w:pPr>
      <w:jc w:val="both"/>
      <w:widowControl w:val="off"/>
    </w:pPr>
    <w:rPr>
      <w:rFonts w:ascii="Times New Roman" w:hAnsi="Times New Roman" w:eastAsia="宋体" w:cs="Times New Roman"/>
      <w:szCs w:val="21"/>
      <w:lang w:val="en-US" w:eastAsia="zh-CN" w:bidi="ar-SA"/>
    </w:rPr>
  </w:style>
  <w:style w:type="paragraph" w:styleId="871" w:customStyle="1">
    <w:name w:val="TOC 标题117"/>
    <w:uiPriority w:val="39"/>
    <w:unhideWhenUsed/>
    <w:qFormat/>
    <w:rPr>
      <w:rFonts w:ascii="Times New Roman" w:hAnsi="Times New Roman" w:eastAsia="宋体" w:cs="Times New Roman"/>
      <w:lang w:val="en-US" w:eastAsia="zh-CN" w:bidi="ar-SA"/>
    </w:rPr>
  </w:style>
  <w:style w:type="paragraph" w:styleId="872" w:customStyle="1">
    <w:name w:val="TOC 标题116"/>
    <w:uiPriority w:val="39"/>
    <w:unhideWhenUsed/>
    <w:qFormat/>
    <w:rPr>
      <w:rFonts w:ascii="Times New Roman" w:hAnsi="Times New Roman" w:eastAsia="宋体" w:cs="Times New Roman"/>
      <w:lang w:val="en-US" w:eastAsia="zh-CN" w:bidi="ar-SA"/>
    </w:rPr>
  </w:style>
  <w:style w:type="paragraph" w:styleId="873" w:customStyle="1">
    <w:name w:val="TOC 标题115"/>
    <w:uiPriority w:val="39"/>
    <w:unhideWhenUsed/>
    <w:qFormat/>
    <w:rPr>
      <w:rFonts w:ascii="Times New Roman" w:hAnsi="Times New Roman" w:eastAsia="宋体" w:cs="Times New Roman"/>
      <w:lang w:val="en-US" w:eastAsia="zh-CN" w:bidi="ar-SA"/>
    </w:rPr>
  </w:style>
  <w:style w:type="paragraph" w:styleId="874" w:customStyle="1">
    <w:name w:val="TOC 标题114"/>
    <w:uiPriority w:val="39"/>
    <w:unhideWhenUsed/>
    <w:qFormat/>
    <w:rPr>
      <w:rFonts w:ascii="Times New Roman" w:hAnsi="Times New Roman" w:eastAsia="宋体" w:cs="Times New Roman"/>
      <w:lang w:val="en-US" w:eastAsia="zh-CN" w:bidi="ar-SA"/>
    </w:rPr>
  </w:style>
  <w:style w:type="character" w:styleId="875" w:customStyle="1">
    <w:name w:val="标题 1 字符"/>
    <w:link w:val="876"/>
    <w:uiPriority w:val="9"/>
    <w:qFormat/>
    <w:rPr>
      <w:b/>
      <w:sz w:val="44"/>
    </w:rPr>
  </w:style>
  <w:style w:type="paragraph" w:styleId="876" w:customStyle="1">
    <w:name w:val="标题 11"/>
    <w:basedOn w:val="796"/>
    <w:next w:val="796"/>
    <w:link w:val="875"/>
    <w:uiPriority w:val="0"/>
    <w:qFormat/>
    <w:pPr>
      <w:keepLines/>
      <w:keepNext/>
      <w:spacing w:before="340" w:after="330" w:line="576" w:lineRule="auto"/>
      <w:outlineLvl w:val="0"/>
    </w:pPr>
    <w:rPr>
      <w:rFonts w:ascii="Times New Roman" w:hAnsi="Times New Roman"/>
      <w:b/>
      <w:sz w:val="44"/>
      <w:szCs w:val="20"/>
    </w:rPr>
  </w:style>
  <w:style w:type="character" w:styleId="877" w:customStyle="1">
    <w:name w:val="标题 2 字符"/>
    <w:link w:val="878"/>
    <w:uiPriority w:val="9"/>
    <w:qFormat/>
    <w:rPr>
      <w:rFonts w:ascii="Arial" w:hAnsi="Arial" w:eastAsia="黑体"/>
      <w:b/>
      <w:sz w:val="32"/>
    </w:rPr>
  </w:style>
  <w:style w:type="paragraph" w:styleId="878" w:customStyle="1">
    <w:name w:val="标题 21"/>
    <w:basedOn w:val="796"/>
    <w:next w:val="796"/>
    <w:link w:val="877"/>
    <w:uiPriority w:val="0"/>
    <w:qFormat/>
    <w:pPr>
      <w:keepLines/>
      <w:keepNext/>
      <w:spacing w:before="260" w:after="260" w:line="413" w:lineRule="auto"/>
      <w:outlineLvl w:val="1"/>
    </w:pPr>
    <w:rPr>
      <w:rFonts w:ascii="Arial" w:hAnsi="Arial" w:eastAsia="黑体"/>
      <w:b/>
      <w:sz w:val="32"/>
      <w:szCs w:val="20"/>
    </w:rPr>
  </w:style>
  <w:style w:type="character" w:styleId="879" w:customStyle="1">
    <w:name w:val="标题 3 字符"/>
    <w:link w:val="880"/>
    <w:uiPriority w:val="9"/>
    <w:qFormat/>
    <w:rPr>
      <w:b/>
      <w:sz w:val="32"/>
    </w:rPr>
  </w:style>
  <w:style w:type="paragraph" w:styleId="880" w:customStyle="1">
    <w:name w:val="标题 31"/>
    <w:basedOn w:val="796"/>
    <w:next w:val="796"/>
    <w:link w:val="879"/>
    <w:uiPriority w:val="0"/>
    <w:qFormat/>
    <w:pPr>
      <w:keepLines/>
      <w:keepNext/>
      <w:spacing w:before="260" w:after="260" w:line="413" w:lineRule="auto"/>
      <w:outlineLvl w:val="2"/>
    </w:pPr>
    <w:rPr>
      <w:rFonts w:ascii="Times New Roman" w:hAnsi="Times New Roman"/>
      <w:b/>
      <w:sz w:val="32"/>
      <w:szCs w:val="20"/>
    </w:rPr>
  </w:style>
  <w:style w:type="character" w:styleId="881" w:customStyle="1">
    <w:name w:val="标题 4 字符"/>
    <w:link w:val="882"/>
    <w:uiPriority w:val="9"/>
    <w:qFormat/>
    <w:rPr>
      <w:rFonts w:ascii="宋体" w:eastAsia="宋体"/>
      <w:color w:val="800000"/>
      <w:sz w:val="28"/>
      <w:lang w:val="en-US" w:eastAsia="zh-CN" w:bidi="ar-SA"/>
    </w:rPr>
  </w:style>
  <w:style w:type="paragraph" w:styleId="882" w:customStyle="1">
    <w:name w:val="标题 41"/>
    <w:basedOn w:val="796"/>
    <w:next w:val="796"/>
    <w:link w:val="88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83">
    <w:name w:val="List Paragraph"/>
    <w:basedOn w:val="796"/>
    <w:uiPriority w:val="34"/>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paragraph" w:styleId="885">
    <w:name w:val="Quote"/>
    <w:basedOn w:val="796"/>
    <w:next w:val="796"/>
    <w:uiPriority w:val="29"/>
    <w:qFormat/>
    <w:pPr>
      <w:ind w:left="720" w:right="720"/>
    </w:pPr>
    <w:rPr>
      <w:i/>
    </w:rPr>
  </w:style>
  <w:style w:type="paragraph" w:styleId="886">
    <w:name w:val="Intense Quote"/>
    <w:basedOn w:val="796"/>
    <w:next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7" w:customStyle="1">
    <w:name w:val="TOC 标题113"/>
    <w:uiPriority w:val="39"/>
    <w:unhideWhenUsed/>
    <w:qFormat/>
    <w:rPr>
      <w:rFonts w:ascii="Times New Roman" w:hAnsi="Times New Roman" w:eastAsia="宋体" w:cs="Times New Roman"/>
      <w:lang w:val="en-US" w:eastAsia="zh-CN" w:bidi="ar-SA"/>
    </w:rPr>
  </w:style>
  <w:style w:type="paragraph" w:styleId="888" w:customStyle="1">
    <w:name w:val="标题 111"/>
    <w:basedOn w:val="796"/>
    <w:next w:val="796"/>
    <w:link w:val="897"/>
    <w:uiPriority w:val="9"/>
    <w:qFormat/>
    <w:pPr>
      <w:keepLines/>
      <w:keepNext/>
      <w:spacing w:before="480" w:after="200"/>
      <w:outlineLvl w:val="0"/>
    </w:pPr>
    <w:rPr>
      <w:rFonts w:ascii="Arial" w:hAnsi="Arial" w:eastAsia="Arial" w:cs="Arial"/>
      <w:sz w:val="40"/>
      <w:szCs w:val="40"/>
    </w:rPr>
  </w:style>
  <w:style w:type="paragraph" w:styleId="889" w:customStyle="1">
    <w:name w:val="标题 211"/>
    <w:basedOn w:val="796"/>
    <w:next w:val="796"/>
    <w:uiPriority w:val="9"/>
    <w:qFormat/>
    <w:pPr>
      <w:keepLines/>
      <w:keepNext/>
      <w:spacing w:before="360" w:after="200"/>
      <w:outlineLvl w:val="1"/>
    </w:pPr>
    <w:rPr>
      <w:rFonts w:ascii="Arial" w:hAnsi="Arial" w:eastAsia="Arial" w:cs="Arial"/>
      <w:sz w:val="34"/>
    </w:rPr>
  </w:style>
  <w:style w:type="paragraph" w:styleId="890" w:customStyle="1">
    <w:name w:val="标题 411"/>
    <w:basedOn w:val="796"/>
    <w:next w:val="796"/>
    <w:uiPriority w:val="9"/>
    <w:qFormat/>
    <w:pPr>
      <w:keepLines/>
      <w:keepNext/>
      <w:spacing w:before="320" w:after="200"/>
      <w:outlineLvl w:val="3"/>
    </w:pPr>
    <w:rPr>
      <w:rFonts w:ascii="Arial" w:hAnsi="Arial" w:eastAsia="Arial" w:cs="Arial"/>
      <w:b/>
      <w:bCs/>
      <w:sz w:val="26"/>
      <w:szCs w:val="26"/>
    </w:rPr>
  </w:style>
  <w:style w:type="paragraph" w:styleId="891" w:customStyle="1">
    <w:name w:val="标题 511"/>
    <w:basedOn w:val="796"/>
    <w:next w:val="796"/>
    <w:link w:val="898"/>
    <w:uiPriority w:val="9"/>
    <w:qFormat/>
    <w:pPr>
      <w:keepLines/>
      <w:keepNext/>
      <w:spacing w:before="320" w:after="200"/>
      <w:outlineLvl w:val="4"/>
    </w:pPr>
    <w:rPr>
      <w:rFonts w:ascii="Arial" w:hAnsi="Arial" w:eastAsia="Arial" w:cs="Arial"/>
      <w:b/>
      <w:bCs/>
      <w:sz w:val="24"/>
      <w:szCs w:val="24"/>
    </w:rPr>
  </w:style>
  <w:style w:type="paragraph" w:styleId="892" w:customStyle="1">
    <w:name w:val="标题 611"/>
    <w:basedOn w:val="796"/>
    <w:next w:val="796"/>
    <w:link w:val="899"/>
    <w:uiPriority w:val="9"/>
    <w:qFormat/>
    <w:pPr>
      <w:keepLines/>
      <w:keepNext/>
      <w:spacing w:before="320" w:after="200"/>
      <w:outlineLvl w:val="5"/>
    </w:pPr>
    <w:rPr>
      <w:rFonts w:ascii="Arial" w:hAnsi="Arial" w:eastAsia="Arial" w:cs="Arial"/>
      <w:b/>
      <w:bCs/>
      <w:sz w:val="22"/>
    </w:rPr>
  </w:style>
  <w:style w:type="paragraph" w:styleId="893" w:customStyle="1">
    <w:name w:val="标题 711"/>
    <w:basedOn w:val="796"/>
    <w:next w:val="796"/>
    <w:link w:val="900"/>
    <w:uiPriority w:val="9"/>
    <w:qFormat/>
    <w:pPr>
      <w:keepLines/>
      <w:keepNext/>
      <w:spacing w:before="320" w:after="200"/>
      <w:outlineLvl w:val="6"/>
    </w:pPr>
    <w:rPr>
      <w:rFonts w:ascii="Arial" w:hAnsi="Arial" w:eastAsia="Arial" w:cs="Arial"/>
      <w:b/>
      <w:bCs/>
      <w:i/>
      <w:iCs/>
      <w:sz w:val="22"/>
    </w:rPr>
  </w:style>
  <w:style w:type="paragraph" w:styleId="894" w:customStyle="1">
    <w:name w:val="标题 811"/>
    <w:basedOn w:val="796"/>
    <w:next w:val="796"/>
    <w:link w:val="901"/>
    <w:uiPriority w:val="9"/>
    <w:qFormat/>
    <w:pPr>
      <w:keepLines/>
      <w:keepNext/>
      <w:spacing w:before="320" w:after="200"/>
      <w:outlineLvl w:val="7"/>
    </w:pPr>
    <w:rPr>
      <w:rFonts w:ascii="Arial" w:hAnsi="Arial" w:eastAsia="Arial" w:cs="Arial"/>
      <w:i/>
      <w:iCs/>
      <w:sz w:val="22"/>
    </w:rPr>
  </w:style>
  <w:style w:type="paragraph" w:styleId="895" w:customStyle="1">
    <w:name w:val="标题 911"/>
    <w:basedOn w:val="796"/>
    <w:next w:val="796"/>
    <w:link w:val="902"/>
    <w:uiPriority w:val="9"/>
    <w:qFormat/>
    <w:pPr>
      <w:keepLines/>
      <w:keepNext/>
      <w:spacing w:before="320" w:after="200"/>
      <w:outlineLvl w:val="8"/>
    </w:pPr>
    <w:rPr>
      <w:rFonts w:ascii="Arial" w:hAnsi="Arial" w:eastAsia="Arial" w:cs="Arial"/>
      <w:i/>
      <w:iCs/>
      <w:szCs w:val="21"/>
    </w:rPr>
  </w:style>
  <w:style w:type="character" w:styleId="896" w:customStyle="1">
    <w:name w:val="默认段落字体11"/>
    <w:uiPriority w:val="1"/>
    <w:unhideWhenUsed/>
    <w:qFormat/>
  </w:style>
  <w:style w:type="character" w:styleId="897" w:customStyle="1">
    <w:name w:val="标题 1 字符1"/>
    <w:link w:val="888"/>
    <w:uiPriority w:val="9"/>
    <w:qFormat/>
    <w:rPr>
      <w:rFonts w:ascii="Arial" w:hAnsi="Arial" w:eastAsia="Arial" w:cs="Arial"/>
      <w:sz w:val="40"/>
      <w:szCs w:val="40"/>
    </w:rPr>
  </w:style>
  <w:style w:type="character" w:styleId="898" w:customStyle="1">
    <w:name w:val="标题 5 字符"/>
    <w:link w:val="891"/>
    <w:uiPriority w:val="9"/>
    <w:qFormat/>
    <w:rPr>
      <w:rFonts w:ascii="Arial" w:hAnsi="Arial" w:eastAsia="Arial" w:cs="Arial"/>
      <w:b/>
      <w:bCs/>
      <w:sz w:val="24"/>
      <w:szCs w:val="24"/>
    </w:rPr>
  </w:style>
  <w:style w:type="character" w:styleId="899" w:customStyle="1">
    <w:name w:val="标题 6 字符"/>
    <w:link w:val="892"/>
    <w:uiPriority w:val="9"/>
    <w:qFormat/>
    <w:rPr>
      <w:rFonts w:ascii="Arial" w:hAnsi="Arial" w:eastAsia="Arial" w:cs="Arial"/>
      <w:b/>
      <w:bCs/>
      <w:sz w:val="22"/>
      <w:szCs w:val="22"/>
    </w:rPr>
  </w:style>
  <w:style w:type="character" w:styleId="900" w:customStyle="1">
    <w:name w:val="标题 7 字符"/>
    <w:link w:val="893"/>
    <w:uiPriority w:val="9"/>
    <w:qFormat/>
    <w:rPr>
      <w:rFonts w:ascii="Arial" w:hAnsi="Arial" w:eastAsia="Arial" w:cs="Arial"/>
      <w:b/>
      <w:bCs/>
      <w:i/>
      <w:iCs/>
      <w:sz w:val="22"/>
      <w:szCs w:val="22"/>
    </w:rPr>
  </w:style>
  <w:style w:type="character" w:styleId="901" w:customStyle="1">
    <w:name w:val="标题 8 字符"/>
    <w:link w:val="894"/>
    <w:uiPriority w:val="9"/>
    <w:qFormat/>
    <w:rPr>
      <w:rFonts w:ascii="Arial" w:hAnsi="Arial" w:eastAsia="Arial" w:cs="Arial"/>
      <w:i/>
      <w:iCs/>
      <w:sz w:val="22"/>
      <w:szCs w:val="22"/>
    </w:rPr>
  </w:style>
  <w:style w:type="character" w:styleId="902" w:customStyle="1">
    <w:name w:val="标题 9 字符"/>
    <w:link w:val="895"/>
    <w:uiPriority w:val="9"/>
    <w:qFormat/>
    <w:rPr>
      <w:rFonts w:ascii="Arial" w:hAnsi="Arial" w:eastAsia="Arial" w:cs="Arial"/>
      <w:i/>
      <w:iCs/>
      <w:sz w:val="21"/>
      <w:szCs w:val="21"/>
    </w:rPr>
  </w:style>
  <w:style w:type="paragraph" w:styleId="903" w:customStyle="1">
    <w:name w:val="题注11"/>
    <w:basedOn w:val="796"/>
    <w:next w:val="796"/>
    <w:uiPriority w:val="35"/>
    <w:qFormat/>
    <w:pPr>
      <w:spacing w:line="276" w:lineRule="auto"/>
    </w:pPr>
    <w:rPr>
      <w:b/>
      <w:bCs/>
      <w:color w:val="4f81bd"/>
      <w:sz w:val="18"/>
      <w:szCs w:val="18"/>
    </w:rPr>
  </w:style>
  <w:style w:type="paragraph" w:styleId="904" w:customStyle="1">
    <w:name w:val="正文文本缩进11"/>
    <w:basedOn w:val="796"/>
    <w:link w:val="905"/>
    <w:uiPriority w:val="99"/>
    <w:unhideWhenUsed/>
    <w:qFormat/>
    <w:pPr>
      <w:ind w:left="420"/>
      <w:spacing w:after="120"/>
    </w:pPr>
  </w:style>
  <w:style w:type="character" w:styleId="905" w:customStyle="1">
    <w:name w:val="正文文本缩进 字符"/>
    <w:link w:val="904"/>
    <w:uiPriority w:val="99"/>
    <w:semiHidden/>
    <w:qFormat/>
    <w:rPr>
      <w:rFonts w:ascii="Calibri" w:hAnsi="Calibri"/>
      <w:sz w:val="21"/>
      <w:szCs w:val="22"/>
    </w:rPr>
  </w:style>
  <w:style w:type="paragraph" w:styleId="906" w:customStyle="1">
    <w:name w:val="尾注文本11"/>
    <w:basedOn w:val="796"/>
    <w:link w:val="907"/>
    <w:uiPriority w:val="99"/>
    <w:unhideWhenUsed/>
    <w:qFormat/>
    <w:rPr>
      <w:sz w:val="20"/>
    </w:rPr>
  </w:style>
  <w:style w:type="character" w:styleId="907" w:customStyle="1">
    <w:name w:val="尾注文本 字符"/>
    <w:link w:val="906"/>
    <w:uiPriority w:val="99"/>
    <w:qFormat/>
    <w:rPr>
      <w:sz w:val="20"/>
    </w:rPr>
  </w:style>
  <w:style w:type="paragraph" w:styleId="908" w:customStyle="1">
    <w:name w:val="页脚11"/>
    <w:basedOn w:val="796"/>
    <w:link w:val="909"/>
    <w:uiPriority w:val="99"/>
    <w:unhideWhenUsed/>
    <w:qFormat/>
    <w:pPr>
      <w:tabs>
        <w:tab w:val="center" w:pos="7143" w:leader="none"/>
        <w:tab w:val="right" w:pos="14287" w:leader="none"/>
      </w:tabs>
    </w:pPr>
  </w:style>
  <w:style w:type="character" w:styleId="909" w:customStyle="1">
    <w:name w:val="页脚 字符"/>
    <w:link w:val="908"/>
    <w:uiPriority w:val="99"/>
    <w:qFormat/>
  </w:style>
  <w:style w:type="paragraph" w:styleId="910" w:customStyle="1">
    <w:name w:val="页眉11"/>
    <w:basedOn w:val="796"/>
    <w:uiPriority w:val="99"/>
    <w:unhideWhenUsed/>
    <w:qFormat/>
    <w:pPr>
      <w:tabs>
        <w:tab w:val="center" w:pos="7143" w:leader="none"/>
        <w:tab w:val="right" w:pos="14287" w:leader="none"/>
      </w:tabs>
    </w:pPr>
  </w:style>
  <w:style w:type="paragraph" w:styleId="911" w:customStyle="1">
    <w:name w:val="副标题1"/>
    <w:basedOn w:val="796"/>
    <w:next w:val="796"/>
    <w:link w:val="912"/>
    <w:uiPriority w:val="11"/>
    <w:qFormat/>
    <w:pPr>
      <w:spacing w:before="200" w:after="200"/>
    </w:pPr>
    <w:rPr>
      <w:sz w:val="24"/>
      <w:szCs w:val="24"/>
    </w:rPr>
  </w:style>
  <w:style w:type="character" w:styleId="912" w:customStyle="1">
    <w:name w:val="副标题 字符"/>
    <w:link w:val="911"/>
    <w:uiPriority w:val="11"/>
    <w:qFormat/>
    <w:rPr>
      <w:sz w:val="24"/>
      <w:szCs w:val="24"/>
    </w:rPr>
  </w:style>
  <w:style w:type="paragraph" w:styleId="913" w:customStyle="1">
    <w:name w:val="脚注文本11"/>
    <w:basedOn w:val="796"/>
    <w:link w:val="914"/>
    <w:uiPriority w:val="99"/>
    <w:unhideWhenUsed/>
    <w:qFormat/>
    <w:pPr>
      <w:spacing w:after="40"/>
    </w:pPr>
    <w:rPr>
      <w:sz w:val="18"/>
    </w:rPr>
  </w:style>
  <w:style w:type="character" w:styleId="914" w:customStyle="1">
    <w:name w:val="脚注文本 字符"/>
    <w:link w:val="913"/>
    <w:uiPriority w:val="99"/>
    <w:qFormat/>
    <w:rPr>
      <w:sz w:val="18"/>
    </w:rPr>
  </w:style>
  <w:style w:type="paragraph" w:styleId="915" w:customStyle="1">
    <w:name w:val="图表目录12"/>
    <w:basedOn w:val="796"/>
    <w:next w:val="796"/>
    <w:uiPriority w:val="99"/>
    <w:unhideWhenUsed/>
    <w:qFormat/>
  </w:style>
  <w:style w:type="paragraph" w:styleId="916" w:customStyle="1">
    <w:name w:val="普通(网站)11"/>
    <w:basedOn w:val="796"/>
    <w:uiPriority w:val="99"/>
    <w:qFormat/>
    <w:rPr>
      <w:sz w:val="24"/>
    </w:rPr>
  </w:style>
  <w:style w:type="paragraph" w:styleId="917" w:customStyle="1">
    <w:name w:val="标题11"/>
    <w:basedOn w:val="796"/>
    <w:next w:val="796"/>
    <w:link w:val="918"/>
    <w:uiPriority w:val="10"/>
    <w:qFormat/>
    <w:pPr>
      <w:contextualSpacing/>
      <w:spacing w:before="300" w:after="200"/>
    </w:pPr>
    <w:rPr>
      <w:sz w:val="48"/>
      <w:szCs w:val="48"/>
    </w:rPr>
  </w:style>
  <w:style w:type="character" w:styleId="918" w:customStyle="1">
    <w:name w:val="标题 字符"/>
    <w:link w:val="917"/>
    <w:uiPriority w:val="10"/>
    <w:qFormat/>
    <w:rPr>
      <w:sz w:val="48"/>
      <w:szCs w:val="48"/>
    </w:rPr>
  </w:style>
  <w:style w:type="paragraph" w:styleId="919" w:customStyle="1">
    <w:name w:val="正文文本首行缩进 21"/>
    <w:basedOn w:val="904"/>
    <w:uiPriority w:val="0"/>
    <w:qFormat/>
    <w:pPr>
      <w:ind w:left="0" w:firstLine="420"/>
      <w:spacing w:after="0" w:line="360" w:lineRule="auto"/>
    </w:pPr>
    <w:rPr>
      <w:rFonts w:ascii="宋体" w:hAnsi="宋体"/>
      <w:szCs w:val="20"/>
    </w:rPr>
  </w:style>
  <w:style w:type="table" w:styleId="920" w:customStyle="1">
    <w:name w:val="网格型11"/>
    <w:uiPriority w:val="59"/>
    <w:qFormat/>
    <w:tblPr>
      <w:tblCellMar>
        <w:left w:w="0" w:type="dxa"/>
        <w:top w:w="0" w:type="dxa"/>
        <w:right w:w="0" w:type="dxa"/>
        <w:bottom w:w="0" w:type="dxa"/>
      </w:tblCellMar>
    </w:tblPr>
  </w:style>
  <w:style w:type="character" w:styleId="921" w:customStyle="1">
    <w:name w:val="要点11"/>
    <w:uiPriority w:val="22"/>
    <w:qFormat/>
    <w:rPr>
      <w:b/>
      <w:bCs/>
    </w:rPr>
  </w:style>
  <w:style w:type="character" w:styleId="922" w:customStyle="1">
    <w:name w:val="尾注引用11"/>
    <w:uiPriority w:val="99"/>
    <w:unhideWhenUsed/>
    <w:qFormat/>
    <w:rPr>
      <w:vertAlign w:val="superscript"/>
    </w:rPr>
  </w:style>
  <w:style w:type="character" w:styleId="923" w:customStyle="1">
    <w:name w:val="超链接11"/>
    <w:uiPriority w:val="99"/>
    <w:unhideWhenUsed/>
    <w:qFormat/>
    <w:rPr>
      <w:color w:val="0000ff"/>
      <w:u w:val="single"/>
    </w:rPr>
  </w:style>
  <w:style w:type="character" w:styleId="924" w:customStyle="1">
    <w:name w:val="脚注引用11"/>
    <w:uiPriority w:val="99"/>
    <w:unhideWhenUsed/>
    <w:qFormat/>
    <w:rPr>
      <w:vertAlign w:val="superscript"/>
    </w:rPr>
  </w:style>
  <w:style w:type="paragraph" w:styleId="925" w:customStyle="1">
    <w:name w:val="TOC 标题112"/>
    <w:uiPriority w:val="39"/>
    <w:unhideWhenUsed/>
    <w:qFormat/>
    <w:rPr>
      <w:rFonts w:ascii="Times New Roman" w:hAnsi="Times New Roman" w:eastAsia="宋体" w:cs="Times New Roman"/>
      <w:lang w:val="en-US" w:eastAsia="zh-CN" w:bidi="ar-SA"/>
    </w:rPr>
  </w:style>
  <w:style w:type="character" w:styleId="926" w:customStyle="1">
    <w:name w:val="Heading 1 Char"/>
    <w:uiPriority w:val="9"/>
    <w:qFormat/>
    <w:rPr>
      <w:rFonts w:ascii="Arial" w:hAnsi="Arial" w:eastAsia="Arial" w:cs="Arial"/>
      <w:sz w:val="40"/>
      <w:szCs w:val="40"/>
    </w:rPr>
  </w:style>
  <w:style w:type="character" w:styleId="927" w:customStyle="1">
    <w:name w:val="Heading 5 Char"/>
    <w:uiPriority w:val="9"/>
    <w:qFormat/>
    <w:rPr>
      <w:rFonts w:ascii="Arial" w:hAnsi="Arial" w:eastAsia="Arial" w:cs="Arial"/>
      <w:b/>
      <w:bCs/>
      <w:sz w:val="24"/>
      <w:szCs w:val="24"/>
    </w:rPr>
  </w:style>
  <w:style w:type="character" w:styleId="928" w:customStyle="1">
    <w:name w:val="Heading 6 Char"/>
    <w:uiPriority w:val="9"/>
    <w:qFormat/>
    <w:rPr>
      <w:rFonts w:ascii="Arial" w:hAnsi="Arial" w:eastAsia="Arial" w:cs="Arial"/>
      <w:b/>
      <w:bCs/>
      <w:sz w:val="22"/>
      <w:szCs w:val="22"/>
    </w:rPr>
  </w:style>
  <w:style w:type="character" w:styleId="929" w:customStyle="1">
    <w:name w:val="Heading 7 Char"/>
    <w:uiPriority w:val="9"/>
    <w:qFormat/>
    <w:rPr>
      <w:rFonts w:ascii="Arial" w:hAnsi="Arial" w:eastAsia="Arial" w:cs="Arial"/>
      <w:b/>
      <w:bCs/>
      <w:i/>
      <w:iCs/>
      <w:sz w:val="22"/>
      <w:szCs w:val="22"/>
    </w:rPr>
  </w:style>
  <w:style w:type="character" w:styleId="930" w:customStyle="1">
    <w:name w:val="Heading 8 Char"/>
    <w:uiPriority w:val="9"/>
    <w:qFormat/>
    <w:rPr>
      <w:rFonts w:ascii="Arial" w:hAnsi="Arial" w:eastAsia="Arial" w:cs="Arial"/>
      <w:i/>
      <w:iCs/>
      <w:sz w:val="22"/>
      <w:szCs w:val="22"/>
    </w:rPr>
  </w:style>
  <w:style w:type="character" w:styleId="931" w:customStyle="1">
    <w:name w:val="Heading 9 Char"/>
    <w:uiPriority w:val="9"/>
    <w:qFormat/>
    <w:rPr>
      <w:rFonts w:ascii="Arial" w:hAnsi="Arial" w:eastAsia="Arial" w:cs="Arial"/>
      <w:i/>
      <w:iCs/>
      <w:sz w:val="21"/>
      <w:szCs w:val="21"/>
    </w:rPr>
  </w:style>
  <w:style w:type="character" w:styleId="932" w:customStyle="1">
    <w:name w:val="Title Char"/>
    <w:uiPriority w:val="10"/>
    <w:qFormat/>
    <w:rPr>
      <w:sz w:val="48"/>
      <w:szCs w:val="48"/>
    </w:rPr>
  </w:style>
  <w:style w:type="character" w:styleId="933" w:customStyle="1">
    <w:name w:val="Subtitle Char"/>
    <w:uiPriority w:val="11"/>
    <w:qFormat/>
    <w:rPr>
      <w:sz w:val="24"/>
      <w:szCs w:val="24"/>
    </w:rPr>
  </w:style>
  <w:style w:type="character" w:styleId="934" w:customStyle="1">
    <w:name w:val="Quote Char"/>
    <w:uiPriority w:val="29"/>
    <w:qFormat/>
    <w:rPr>
      <w:i/>
    </w:rPr>
  </w:style>
  <w:style w:type="character" w:styleId="935" w:customStyle="1">
    <w:name w:val="Intense Quote Char"/>
    <w:uiPriority w:val="30"/>
    <w:qFormat/>
    <w:rPr>
      <w:i/>
    </w:rPr>
  </w:style>
  <w:style w:type="character" w:styleId="936" w:customStyle="1">
    <w:name w:val="Caption Char"/>
    <w:uiPriority w:val="99"/>
    <w:qFormat/>
  </w:style>
  <w:style w:type="character" w:styleId="937" w:customStyle="1">
    <w:name w:val="Footnote Text Char"/>
    <w:uiPriority w:val="99"/>
    <w:qFormat/>
    <w:rPr>
      <w:sz w:val="18"/>
    </w:rPr>
  </w:style>
  <w:style w:type="character" w:styleId="938" w:customStyle="1">
    <w:name w:val="Endnote Text Char"/>
    <w:uiPriority w:val="99"/>
    <w:qFormat/>
    <w:rPr>
      <w:sz w:val="20"/>
    </w:rPr>
  </w:style>
  <w:style w:type="paragraph" w:styleId="939" w:customStyle="1">
    <w:name w:val="TOC 标题111"/>
    <w:uiPriority w:val="39"/>
    <w:unhideWhenUsed/>
    <w:qFormat/>
    <w:rPr>
      <w:rFonts w:ascii="Times New Roman" w:hAnsi="Times New Roman" w:eastAsia="宋体" w:cs="Times New Roman"/>
      <w:lang w:val="en-US" w:eastAsia="zh-CN" w:bidi="ar-SA"/>
    </w:rPr>
  </w:style>
  <w:style w:type="paragraph" w:styleId="940" w:customStyle="1">
    <w:name w:val="无间隔1"/>
    <w:uiPriority w:val="1"/>
    <w:qFormat/>
    <w:rPr>
      <w:rFonts w:ascii="Times New Roman" w:hAnsi="Times New Roman" w:eastAsia="宋体" w:cs="Times New Roman"/>
      <w:lang w:val="en-US" w:eastAsia="zh-CN" w:bidi="ar-SA"/>
    </w:rPr>
  </w:style>
  <w:style w:type="paragraph" w:styleId="941" w:customStyle="1">
    <w:name w:val="引用1"/>
    <w:basedOn w:val="796"/>
    <w:next w:val="796"/>
    <w:link w:val="942"/>
    <w:uiPriority w:val="29"/>
    <w:qFormat/>
    <w:pPr>
      <w:ind w:left="720" w:right="720"/>
    </w:pPr>
    <w:rPr>
      <w:i/>
    </w:rPr>
  </w:style>
  <w:style w:type="character" w:styleId="942" w:customStyle="1">
    <w:name w:val="引用 字符"/>
    <w:link w:val="941"/>
    <w:uiPriority w:val="29"/>
    <w:qFormat/>
    <w:rPr>
      <w:i/>
    </w:rPr>
  </w:style>
  <w:style w:type="paragraph" w:styleId="943" w:customStyle="1">
    <w:name w:val="明显引用1"/>
    <w:basedOn w:val="796"/>
    <w:next w:val="796"/>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table" w:styleId="945" w:customStyle="1">
    <w:name w:val="Table Grid Light"/>
    <w:uiPriority w:val="59"/>
    <w:qFormat/>
    <w:tblPr>
      <w:tblCellMar>
        <w:left w:w="0" w:type="dxa"/>
        <w:top w:w="0" w:type="dxa"/>
        <w:right w:w="0" w:type="dxa"/>
        <w:bottom w:w="0" w:type="dxa"/>
      </w:tblCellMar>
    </w:tblPr>
  </w:style>
  <w:style w:type="table" w:styleId="946" w:customStyle="1">
    <w:name w:val="Grid Table 1 Light - Accent 1"/>
    <w:uiPriority w:val="99"/>
    <w:qFormat/>
    <w:tblPr>
      <w:tblCellMar>
        <w:left w:w="0" w:type="dxa"/>
        <w:top w:w="0" w:type="dxa"/>
        <w:right w:w="0" w:type="dxa"/>
        <w:bottom w:w="0" w:type="dxa"/>
      </w:tblCellMar>
    </w:tblPr>
  </w:style>
  <w:style w:type="table" w:styleId="947" w:customStyle="1">
    <w:name w:val="Grid Table 1 Light - Accent 2"/>
    <w:uiPriority w:val="99"/>
    <w:qFormat/>
    <w:tblPr>
      <w:tblCellMar>
        <w:left w:w="0" w:type="dxa"/>
        <w:top w:w="0" w:type="dxa"/>
        <w:right w:w="0" w:type="dxa"/>
        <w:bottom w:w="0" w:type="dxa"/>
      </w:tblCellMar>
    </w:tblPr>
  </w:style>
  <w:style w:type="table" w:styleId="948" w:customStyle="1">
    <w:name w:val="Grid Table 1 Light - Accent 3"/>
    <w:uiPriority w:val="99"/>
    <w:qFormat/>
    <w:tblPr>
      <w:tblCellMar>
        <w:left w:w="0" w:type="dxa"/>
        <w:top w:w="0" w:type="dxa"/>
        <w:right w:w="0" w:type="dxa"/>
        <w:bottom w:w="0" w:type="dxa"/>
      </w:tblCellMar>
    </w:tblPr>
  </w:style>
  <w:style w:type="table" w:styleId="949" w:customStyle="1">
    <w:name w:val="Grid Table 1 Light - Accent 4"/>
    <w:uiPriority w:val="99"/>
    <w:qFormat/>
    <w:tblPr>
      <w:tblCellMar>
        <w:left w:w="0" w:type="dxa"/>
        <w:top w:w="0" w:type="dxa"/>
        <w:right w:w="0" w:type="dxa"/>
        <w:bottom w:w="0" w:type="dxa"/>
      </w:tblCellMar>
    </w:tblPr>
  </w:style>
  <w:style w:type="table" w:styleId="950" w:customStyle="1">
    <w:name w:val="Grid Table 1 Light - Accent 5"/>
    <w:uiPriority w:val="99"/>
    <w:qFormat/>
    <w:tblPr>
      <w:tblCellMar>
        <w:left w:w="0" w:type="dxa"/>
        <w:top w:w="0" w:type="dxa"/>
        <w:right w:w="0" w:type="dxa"/>
        <w:bottom w:w="0" w:type="dxa"/>
      </w:tblCellMar>
    </w:tblPr>
  </w:style>
  <w:style w:type="table" w:styleId="951" w:customStyle="1">
    <w:name w:val="Grid Table 1 Light - Accent 6"/>
    <w:uiPriority w:val="99"/>
    <w:qFormat/>
    <w:tblPr>
      <w:tblCellMar>
        <w:left w:w="0" w:type="dxa"/>
        <w:top w:w="0" w:type="dxa"/>
        <w:right w:w="0" w:type="dxa"/>
        <w:bottom w:w="0" w:type="dxa"/>
      </w:tblCellMar>
    </w:tblPr>
  </w:style>
  <w:style w:type="table" w:styleId="952" w:customStyle="1">
    <w:name w:val="Grid Table 2 - Accent 1"/>
    <w:uiPriority w:val="99"/>
    <w:qFormat/>
    <w:tblPr>
      <w:tblCellMar>
        <w:left w:w="0" w:type="dxa"/>
        <w:top w:w="0" w:type="dxa"/>
        <w:right w:w="0" w:type="dxa"/>
        <w:bottom w:w="0" w:type="dxa"/>
      </w:tblCellMar>
    </w:tblPr>
  </w:style>
  <w:style w:type="table" w:styleId="953" w:customStyle="1">
    <w:name w:val="Grid Table 2 - Accent 2"/>
    <w:uiPriority w:val="99"/>
    <w:qFormat/>
    <w:tblPr>
      <w:tblCellMar>
        <w:left w:w="0" w:type="dxa"/>
        <w:top w:w="0" w:type="dxa"/>
        <w:right w:w="0" w:type="dxa"/>
        <w:bottom w:w="0" w:type="dxa"/>
      </w:tblCellMar>
    </w:tblPr>
  </w:style>
  <w:style w:type="table" w:styleId="954" w:customStyle="1">
    <w:name w:val="Grid Table 2 - Accent 3"/>
    <w:uiPriority w:val="99"/>
    <w:qFormat/>
    <w:tblPr>
      <w:tblCellMar>
        <w:left w:w="0" w:type="dxa"/>
        <w:top w:w="0" w:type="dxa"/>
        <w:right w:w="0" w:type="dxa"/>
        <w:bottom w:w="0" w:type="dxa"/>
      </w:tblCellMar>
    </w:tblPr>
  </w:style>
  <w:style w:type="table" w:styleId="955" w:customStyle="1">
    <w:name w:val="Grid Table 2 - Accent 4"/>
    <w:uiPriority w:val="99"/>
    <w:qFormat/>
    <w:tblPr>
      <w:tblCellMar>
        <w:left w:w="0" w:type="dxa"/>
        <w:top w:w="0" w:type="dxa"/>
        <w:right w:w="0" w:type="dxa"/>
        <w:bottom w:w="0" w:type="dxa"/>
      </w:tblCellMar>
    </w:tblPr>
  </w:style>
  <w:style w:type="table" w:styleId="956" w:customStyle="1">
    <w:name w:val="Grid Table 2 - Accent 5"/>
    <w:uiPriority w:val="99"/>
    <w:qFormat/>
    <w:tblPr>
      <w:tblCellMar>
        <w:left w:w="0" w:type="dxa"/>
        <w:top w:w="0" w:type="dxa"/>
        <w:right w:w="0" w:type="dxa"/>
        <w:bottom w:w="0" w:type="dxa"/>
      </w:tblCellMar>
    </w:tblPr>
  </w:style>
  <w:style w:type="table" w:styleId="957" w:customStyle="1">
    <w:name w:val="Grid Table 2 - Accent 6"/>
    <w:uiPriority w:val="99"/>
    <w:qFormat/>
    <w:tblPr>
      <w:tblCellMar>
        <w:left w:w="0" w:type="dxa"/>
        <w:top w:w="0" w:type="dxa"/>
        <w:right w:w="0" w:type="dxa"/>
        <w:bottom w:w="0" w:type="dxa"/>
      </w:tblCellMar>
    </w:tblPr>
  </w:style>
  <w:style w:type="table" w:styleId="958" w:customStyle="1">
    <w:name w:val="Grid Table 3 - Accent 1"/>
    <w:uiPriority w:val="99"/>
    <w:qFormat/>
    <w:tblPr>
      <w:tblCellMar>
        <w:left w:w="0" w:type="dxa"/>
        <w:top w:w="0" w:type="dxa"/>
        <w:right w:w="0" w:type="dxa"/>
        <w:bottom w:w="0" w:type="dxa"/>
      </w:tblCellMar>
    </w:tblPr>
  </w:style>
  <w:style w:type="table" w:styleId="959" w:customStyle="1">
    <w:name w:val="Grid Table 3 - Accent 2"/>
    <w:uiPriority w:val="99"/>
    <w:qFormat/>
    <w:tblPr>
      <w:tblCellMar>
        <w:left w:w="0" w:type="dxa"/>
        <w:top w:w="0" w:type="dxa"/>
        <w:right w:w="0" w:type="dxa"/>
        <w:bottom w:w="0" w:type="dxa"/>
      </w:tblCellMar>
    </w:tblPr>
  </w:style>
  <w:style w:type="table" w:styleId="960" w:customStyle="1">
    <w:name w:val="Grid Table 3 - Accent 3"/>
    <w:uiPriority w:val="99"/>
    <w:qFormat/>
    <w:tblPr>
      <w:tblCellMar>
        <w:left w:w="0" w:type="dxa"/>
        <w:top w:w="0" w:type="dxa"/>
        <w:right w:w="0" w:type="dxa"/>
        <w:bottom w:w="0" w:type="dxa"/>
      </w:tblCellMar>
    </w:tblPr>
  </w:style>
  <w:style w:type="table" w:styleId="961" w:customStyle="1">
    <w:name w:val="Grid Table 3 - Accent 4"/>
    <w:uiPriority w:val="99"/>
    <w:qFormat/>
    <w:tblPr>
      <w:tblCellMar>
        <w:left w:w="0" w:type="dxa"/>
        <w:top w:w="0" w:type="dxa"/>
        <w:right w:w="0" w:type="dxa"/>
        <w:bottom w:w="0" w:type="dxa"/>
      </w:tblCellMar>
    </w:tblPr>
  </w:style>
  <w:style w:type="table" w:styleId="962" w:customStyle="1">
    <w:name w:val="Grid Table 3 - Accent 5"/>
    <w:uiPriority w:val="99"/>
    <w:qFormat/>
    <w:tblPr>
      <w:tblCellMar>
        <w:left w:w="0" w:type="dxa"/>
        <w:top w:w="0" w:type="dxa"/>
        <w:right w:w="0" w:type="dxa"/>
        <w:bottom w:w="0" w:type="dxa"/>
      </w:tblCellMar>
    </w:tblPr>
  </w:style>
  <w:style w:type="table" w:styleId="963" w:customStyle="1">
    <w:name w:val="Grid Table 3 - Accent 6"/>
    <w:uiPriority w:val="99"/>
    <w:qFormat/>
    <w:tblPr>
      <w:tblCellMar>
        <w:left w:w="0" w:type="dxa"/>
        <w:top w:w="0" w:type="dxa"/>
        <w:right w:w="0" w:type="dxa"/>
        <w:bottom w:w="0" w:type="dxa"/>
      </w:tblCellMar>
    </w:tblPr>
  </w:style>
  <w:style w:type="table" w:styleId="964" w:customStyle="1">
    <w:name w:val="Grid Table 4 - Accent 1"/>
    <w:uiPriority w:val="59"/>
    <w:qFormat/>
    <w:tblPr>
      <w:tblCellMar>
        <w:left w:w="0" w:type="dxa"/>
        <w:top w:w="0" w:type="dxa"/>
        <w:right w:w="0" w:type="dxa"/>
        <w:bottom w:w="0" w:type="dxa"/>
      </w:tblCellMar>
    </w:tblPr>
  </w:style>
  <w:style w:type="table" w:styleId="965" w:customStyle="1">
    <w:name w:val="Grid Table 4 - Accent 2"/>
    <w:uiPriority w:val="59"/>
    <w:qFormat/>
    <w:tblPr>
      <w:tblCellMar>
        <w:left w:w="0" w:type="dxa"/>
        <w:top w:w="0" w:type="dxa"/>
        <w:right w:w="0" w:type="dxa"/>
        <w:bottom w:w="0" w:type="dxa"/>
      </w:tblCellMar>
    </w:tblPr>
  </w:style>
  <w:style w:type="table" w:styleId="966" w:customStyle="1">
    <w:name w:val="Grid Table 4 - Accent 3"/>
    <w:uiPriority w:val="59"/>
    <w:qFormat/>
    <w:tblPr>
      <w:tblCellMar>
        <w:left w:w="0" w:type="dxa"/>
        <w:top w:w="0" w:type="dxa"/>
        <w:right w:w="0" w:type="dxa"/>
        <w:bottom w:w="0" w:type="dxa"/>
      </w:tblCellMar>
    </w:tblPr>
  </w:style>
  <w:style w:type="table" w:styleId="967" w:customStyle="1">
    <w:name w:val="Grid Table 4 - Accent 4"/>
    <w:uiPriority w:val="59"/>
    <w:qFormat/>
    <w:tblPr>
      <w:tblCellMar>
        <w:left w:w="0" w:type="dxa"/>
        <w:top w:w="0" w:type="dxa"/>
        <w:right w:w="0" w:type="dxa"/>
        <w:bottom w:w="0" w:type="dxa"/>
      </w:tblCellMar>
    </w:tblPr>
  </w:style>
  <w:style w:type="table" w:styleId="968" w:customStyle="1">
    <w:name w:val="Grid Table 4 - Accent 5"/>
    <w:uiPriority w:val="59"/>
    <w:qFormat/>
    <w:tblPr>
      <w:tblCellMar>
        <w:left w:w="0" w:type="dxa"/>
        <w:top w:w="0" w:type="dxa"/>
        <w:right w:w="0" w:type="dxa"/>
        <w:bottom w:w="0" w:type="dxa"/>
      </w:tblCellMar>
    </w:tblPr>
  </w:style>
  <w:style w:type="table" w:styleId="969" w:customStyle="1">
    <w:name w:val="Grid Table 4 - Accent 6"/>
    <w:uiPriority w:val="59"/>
    <w:qFormat/>
    <w:tblPr>
      <w:tblCellMar>
        <w:left w:w="0" w:type="dxa"/>
        <w:top w:w="0" w:type="dxa"/>
        <w:right w:w="0" w:type="dxa"/>
        <w:bottom w:w="0" w:type="dxa"/>
      </w:tblCellMar>
    </w:tblPr>
  </w:style>
  <w:style w:type="table" w:styleId="970" w:customStyle="1">
    <w:name w:val="Grid Table 5 Dark- Accent 1"/>
    <w:uiPriority w:val="99"/>
    <w:qFormat/>
    <w:tblPr>
      <w:tblCellMar>
        <w:left w:w="0" w:type="dxa"/>
        <w:top w:w="0" w:type="dxa"/>
        <w:right w:w="0" w:type="dxa"/>
        <w:bottom w:w="0" w:type="dxa"/>
      </w:tblCellMar>
    </w:tblPr>
  </w:style>
  <w:style w:type="table" w:styleId="971" w:customStyle="1">
    <w:name w:val="Grid Table 5 Dark - Accent 2"/>
    <w:uiPriority w:val="99"/>
    <w:qFormat/>
    <w:tblPr>
      <w:tblCellMar>
        <w:left w:w="0" w:type="dxa"/>
        <w:top w:w="0" w:type="dxa"/>
        <w:right w:w="0" w:type="dxa"/>
        <w:bottom w:w="0" w:type="dxa"/>
      </w:tblCellMar>
    </w:tblPr>
  </w:style>
  <w:style w:type="table" w:styleId="972" w:customStyle="1">
    <w:name w:val="Grid Table 5 Dark - Accent 3"/>
    <w:uiPriority w:val="99"/>
    <w:qFormat/>
    <w:tblPr>
      <w:tblCellMar>
        <w:left w:w="0" w:type="dxa"/>
        <w:top w:w="0" w:type="dxa"/>
        <w:right w:w="0" w:type="dxa"/>
        <w:bottom w:w="0" w:type="dxa"/>
      </w:tblCellMar>
    </w:tblPr>
  </w:style>
  <w:style w:type="table" w:styleId="973" w:customStyle="1">
    <w:name w:val="Grid Table 5 Dark- Accent 4"/>
    <w:uiPriority w:val="99"/>
    <w:qFormat/>
    <w:tblPr>
      <w:tblCellMar>
        <w:left w:w="0" w:type="dxa"/>
        <w:top w:w="0" w:type="dxa"/>
        <w:right w:w="0" w:type="dxa"/>
        <w:bottom w:w="0" w:type="dxa"/>
      </w:tblCellMar>
    </w:tblPr>
  </w:style>
  <w:style w:type="table" w:styleId="974" w:customStyle="1">
    <w:name w:val="Grid Table 5 Dark - Accent 5"/>
    <w:uiPriority w:val="99"/>
    <w:qFormat/>
    <w:tblPr>
      <w:tblCellMar>
        <w:left w:w="0" w:type="dxa"/>
        <w:top w:w="0" w:type="dxa"/>
        <w:right w:w="0" w:type="dxa"/>
        <w:bottom w:w="0" w:type="dxa"/>
      </w:tblCellMar>
    </w:tblPr>
  </w:style>
  <w:style w:type="table" w:styleId="975" w:customStyle="1">
    <w:name w:val="Grid Table 5 Dark - Accent 6"/>
    <w:uiPriority w:val="99"/>
    <w:qFormat/>
    <w:tblPr>
      <w:tblCellMar>
        <w:left w:w="0" w:type="dxa"/>
        <w:top w:w="0" w:type="dxa"/>
        <w:right w:w="0" w:type="dxa"/>
        <w:bottom w:w="0" w:type="dxa"/>
      </w:tblCellMar>
    </w:tblPr>
  </w:style>
  <w:style w:type="table" w:styleId="976" w:customStyle="1">
    <w:name w:val="Grid Table 6 Colorful - Accent 1"/>
    <w:uiPriority w:val="99"/>
    <w:qFormat/>
    <w:tblPr>
      <w:tblCellMar>
        <w:left w:w="0" w:type="dxa"/>
        <w:top w:w="0" w:type="dxa"/>
        <w:right w:w="0" w:type="dxa"/>
        <w:bottom w:w="0" w:type="dxa"/>
      </w:tblCellMar>
    </w:tblPr>
  </w:style>
  <w:style w:type="table" w:styleId="977" w:customStyle="1">
    <w:name w:val="Grid Table 6 Colorful - Accent 2"/>
    <w:uiPriority w:val="99"/>
    <w:qFormat/>
    <w:tblPr>
      <w:tblCellMar>
        <w:left w:w="0" w:type="dxa"/>
        <w:top w:w="0" w:type="dxa"/>
        <w:right w:w="0" w:type="dxa"/>
        <w:bottom w:w="0" w:type="dxa"/>
      </w:tblCellMar>
    </w:tblPr>
  </w:style>
  <w:style w:type="table" w:styleId="978" w:customStyle="1">
    <w:name w:val="Grid Table 6 Colorful - Accent 3"/>
    <w:uiPriority w:val="99"/>
    <w:qFormat/>
    <w:tblPr>
      <w:tblCellMar>
        <w:left w:w="0" w:type="dxa"/>
        <w:top w:w="0" w:type="dxa"/>
        <w:right w:w="0" w:type="dxa"/>
        <w:bottom w:w="0" w:type="dxa"/>
      </w:tblCellMar>
    </w:tblPr>
  </w:style>
  <w:style w:type="table" w:styleId="979" w:customStyle="1">
    <w:name w:val="Grid Table 6 Colorful - Accent 4"/>
    <w:uiPriority w:val="99"/>
    <w:qFormat/>
    <w:tblPr>
      <w:tblCellMar>
        <w:left w:w="0" w:type="dxa"/>
        <w:top w:w="0" w:type="dxa"/>
        <w:right w:w="0" w:type="dxa"/>
        <w:bottom w:w="0" w:type="dxa"/>
      </w:tblCellMar>
    </w:tblPr>
  </w:style>
  <w:style w:type="table" w:styleId="980" w:customStyle="1">
    <w:name w:val="Grid Table 6 Colorful - Accent 5"/>
    <w:uiPriority w:val="99"/>
    <w:qFormat/>
    <w:tblPr>
      <w:tblCellMar>
        <w:left w:w="0" w:type="dxa"/>
        <w:top w:w="0" w:type="dxa"/>
        <w:right w:w="0" w:type="dxa"/>
        <w:bottom w:w="0" w:type="dxa"/>
      </w:tblCellMar>
    </w:tblPr>
  </w:style>
  <w:style w:type="table" w:styleId="981" w:customStyle="1">
    <w:name w:val="Grid Table 6 Colorful - Accent 6"/>
    <w:uiPriority w:val="99"/>
    <w:qFormat/>
    <w:tblPr>
      <w:tblCellMar>
        <w:left w:w="0" w:type="dxa"/>
        <w:top w:w="0" w:type="dxa"/>
        <w:right w:w="0" w:type="dxa"/>
        <w:bottom w:w="0" w:type="dxa"/>
      </w:tblCellMar>
    </w:tblPr>
  </w:style>
  <w:style w:type="table" w:styleId="982" w:customStyle="1">
    <w:name w:val="Grid Table 7 Colorful - Accent 1"/>
    <w:uiPriority w:val="99"/>
    <w:qFormat/>
    <w:tblPr>
      <w:tblCellMar>
        <w:left w:w="0" w:type="dxa"/>
        <w:top w:w="0" w:type="dxa"/>
        <w:right w:w="0" w:type="dxa"/>
        <w:bottom w:w="0" w:type="dxa"/>
      </w:tblCellMar>
    </w:tblPr>
  </w:style>
  <w:style w:type="table" w:styleId="983" w:customStyle="1">
    <w:name w:val="Grid Table 7 Colorful - Accent 2"/>
    <w:uiPriority w:val="99"/>
    <w:qFormat/>
    <w:tblPr>
      <w:tblCellMar>
        <w:left w:w="0" w:type="dxa"/>
        <w:top w:w="0" w:type="dxa"/>
        <w:right w:w="0" w:type="dxa"/>
        <w:bottom w:w="0" w:type="dxa"/>
      </w:tblCellMar>
    </w:tblPr>
  </w:style>
  <w:style w:type="table" w:styleId="984" w:customStyle="1">
    <w:name w:val="Grid Table 7 Colorful - Accent 3"/>
    <w:uiPriority w:val="99"/>
    <w:qFormat/>
    <w:tblPr>
      <w:tblCellMar>
        <w:left w:w="0" w:type="dxa"/>
        <w:top w:w="0" w:type="dxa"/>
        <w:right w:w="0" w:type="dxa"/>
        <w:bottom w:w="0" w:type="dxa"/>
      </w:tblCellMar>
    </w:tblPr>
  </w:style>
  <w:style w:type="table" w:styleId="985" w:customStyle="1">
    <w:name w:val="Grid Table 7 Colorful - Accent 4"/>
    <w:uiPriority w:val="99"/>
    <w:qFormat/>
    <w:tblPr>
      <w:tblCellMar>
        <w:left w:w="0" w:type="dxa"/>
        <w:top w:w="0" w:type="dxa"/>
        <w:right w:w="0" w:type="dxa"/>
        <w:bottom w:w="0" w:type="dxa"/>
      </w:tblCellMar>
    </w:tblPr>
  </w:style>
  <w:style w:type="table" w:styleId="986" w:customStyle="1">
    <w:name w:val="Grid Table 7 Colorful - Accent 5"/>
    <w:uiPriority w:val="99"/>
    <w:qFormat/>
    <w:tblPr>
      <w:tblCellMar>
        <w:left w:w="0" w:type="dxa"/>
        <w:top w:w="0" w:type="dxa"/>
        <w:right w:w="0" w:type="dxa"/>
        <w:bottom w:w="0" w:type="dxa"/>
      </w:tblCellMar>
    </w:tblPr>
  </w:style>
  <w:style w:type="table" w:styleId="987" w:customStyle="1">
    <w:name w:val="Grid Table 7 Colorful - Accent 6"/>
    <w:uiPriority w:val="99"/>
    <w:qFormat/>
    <w:tblPr>
      <w:tblCellMar>
        <w:left w:w="0" w:type="dxa"/>
        <w:top w:w="0" w:type="dxa"/>
        <w:right w:w="0" w:type="dxa"/>
        <w:bottom w:w="0" w:type="dxa"/>
      </w:tblCellMar>
    </w:tblPr>
  </w:style>
  <w:style w:type="table" w:styleId="988" w:customStyle="1">
    <w:name w:val="List Table 1 Light - Accent 1"/>
    <w:uiPriority w:val="99"/>
    <w:qFormat/>
    <w:tblPr>
      <w:tblCellMar>
        <w:left w:w="0" w:type="dxa"/>
        <w:top w:w="0" w:type="dxa"/>
        <w:right w:w="0" w:type="dxa"/>
        <w:bottom w:w="0" w:type="dxa"/>
      </w:tblCellMar>
    </w:tblPr>
  </w:style>
  <w:style w:type="table" w:styleId="989" w:customStyle="1">
    <w:name w:val="List Table 1 Light - Accent 2"/>
    <w:uiPriority w:val="99"/>
    <w:qFormat/>
    <w:tblPr>
      <w:tblCellMar>
        <w:left w:w="0" w:type="dxa"/>
        <w:top w:w="0" w:type="dxa"/>
        <w:right w:w="0" w:type="dxa"/>
        <w:bottom w:w="0" w:type="dxa"/>
      </w:tblCellMar>
    </w:tblPr>
  </w:style>
  <w:style w:type="table" w:styleId="990" w:customStyle="1">
    <w:name w:val="List Table 1 Light - Accent 3"/>
    <w:uiPriority w:val="99"/>
    <w:qFormat/>
    <w:tblPr>
      <w:tblCellMar>
        <w:left w:w="0" w:type="dxa"/>
        <w:top w:w="0" w:type="dxa"/>
        <w:right w:w="0" w:type="dxa"/>
        <w:bottom w:w="0" w:type="dxa"/>
      </w:tblCellMar>
    </w:tblPr>
  </w:style>
  <w:style w:type="table" w:styleId="991" w:customStyle="1">
    <w:name w:val="List Table 1 Light - Accent 4"/>
    <w:uiPriority w:val="99"/>
    <w:qFormat/>
    <w:tblPr>
      <w:tblCellMar>
        <w:left w:w="0" w:type="dxa"/>
        <w:top w:w="0" w:type="dxa"/>
        <w:right w:w="0" w:type="dxa"/>
        <w:bottom w:w="0" w:type="dxa"/>
      </w:tblCellMar>
    </w:tblPr>
  </w:style>
  <w:style w:type="table" w:styleId="992" w:customStyle="1">
    <w:name w:val="List Table 1 Light - Accent 5"/>
    <w:uiPriority w:val="99"/>
    <w:qFormat/>
    <w:tblPr>
      <w:tblCellMar>
        <w:left w:w="0" w:type="dxa"/>
        <w:top w:w="0" w:type="dxa"/>
        <w:right w:w="0" w:type="dxa"/>
        <w:bottom w:w="0" w:type="dxa"/>
      </w:tblCellMar>
    </w:tblPr>
  </w:style>
  <w:style w:type="table" w:styleId="993" w:customStyle="1">
    <w:name w:val="List Table 1 Light - Accent 6"/>
    <w:uiPriority w:val="99"/>
    <w:qFormat/>
    <w:tblPr>
      <w:tblCellMar>
        <w:left w:w="0" w:type="dxa"/>
        <w:top w:w="0" w:type="dxa"/>
        <w:right w:w="0" w:type="dxa"/>
        <w:bottom w:w="0" w:type="dxa"/>
      </w:tblCellMar>
    </w:tblPr>
  </w:style>
  <w:style w:type="table" w:styleId="994" w:customStyle="1">
    <w:name w:val="List Table 2 - Accent 1"/>
    <w:uiPriority w:val="99"/>
    <w:qFormat/>
    <w:tblPr>
      <w:tblCellMar>
        <w:left w:w="0" w:type="dxa"/>
        <w:top w:w="0" w:type="dxa"/>
        <w:right w:w="0" w:type="dxa"/>
        <w:bottom w:w="0" w:type="dxa"/>
      </w:tblCellMar>
    </w:tblPr>
  </w:style>
  <w:style w:type="table" w:styleId="995" w:customStyle="1">
    <w:name w:val="List Table 2 - Accent 2"/>
    <w:uiPriority w:val="99"/>
    <w:qFormat/>
    <w:tblPr>
      <w:tblCellMar>
        <w:left w:w="0" w:type="dxa"/>
        <w:top w:w="0" w:type="dxa"/>
        <w:right w:w="0" w:type="dxa"/>
        <w:bottom w:w="0" w:type="dxa"/>
      </w:tblCellMar>
    </w:tblPr>
  </w:style>
  <w:style w:type="table" w:styleId="996" w:customStyle="1">
    <w:name w:val="List Table 2 - Accent 3"/>
    <w:uiPriority w:val="99"/>
    <w:qFormat/>
    <w:tblPr>
      <w:tblCellMar>
        <w:left w:w="0" w:type="dxa"/>
        <w:top w:w="0" w:type="dxa"/>
        <w:right w:w="0" w:type="dxa"/>
        <w:bottom w:w="0" w:type="dxa"/>
      </w:tblCellMar>
    </w:tblPr>
  </w:style>
  <w:style w:type="table" w:styleId="997" w:customStyle="1">
    <w:name w:val="List Table 2 - Accent 4"/>
    <w:uiPriority w:val="99"/>
    <w:qFormat/>
    <w:tblPr>
      <w:tblCellMar>
        <w:left w:w="0" w:type="dxa"/>
        <w:top w:w="0" w:type="dxa"/>
        <w:right w:w="0" w:type="dxa"/>
        <w:bottom w:w="0" w:type="dxa"/>
      </w:tblCellMar>
    </w:tblPr>
  </w:style>
  <w:style w:type="table" w:styleId="998" w:customStyle="1">
    <w:name w:val="List Table 2 - Accent 5"/>
    <w:uiPriority w:val="99"/>
    <w:qFormat/>
    <w:tblPr>
      <w:tblCellMar>
        <w:left w:w="0" w:type="dxa"/>
        <w:top w:w="0" w:type="dxa"/>
        <w:right w:w="0" w:type="dxa"/>
        <w:bottom w:w="0" w:type="dxa"/>
      </w:tblCellMar>
    </w:tblPr>
  </w:style>
  <w:style w:type="table" w:styleId="999" w:customStyle="1">
    <w:name w:val="List Table 2 - Accent 6"/>
    <w:uiPriority w:val="99"/>
    <w:qFormat/>
    <w:tblPr>
      <w:tblCellMar>
        <w:left w:w="0" w:type="dxa"/>
        <w:top w:w="0" w:type="dxa"/>
        <w:right w:w="0" w:type="dxa"/>
        <w:bottom w:w="0" w:type="dxa"/>
      </w:tblCellMar>
    </w:tblPr>
  </w:style>
  <w:style w:type="table" w:styleId="1000" w:customStyle="1">
    <w:name w:val="List Table 3 - Accent 1"/>
    <w:uiPriority w:val="99"/>
    <w:qFormat/>
    <w:tblPr>
      <w:tblCellMar>
        <w:left w:w="0" w:type="dxa"/>
        <w:top w:w="0" w:type="dxa"/>
        <w:right w:w="0" w:type="dxa"/>
        <w:bottom w:w="0" w:type="dxa"/>
      </w:tblCellMar>
    </w:tblPr>
  </w:style>
  <w:style w:type="table" w:styleId="1001" w:customStyle="1">
    <w:name w:val="List Table 3 - Accent 2"/>
    <w:uiPriority w:val="99"/>
    <w:qFormat/>
    <w:tblPr>
      <w:tblCellMar>
        <w:left w:w="0" w:type="dxa"/>
        <w:top w:w="0" w:type="dxa"/>
        <w:right w:w="0" w:type="dxa"/>
        <w:bottom w:w="0" w:type="dxa"/>
      </w:tblCellMar>
    </w:tblPr>
  </w:style>
  <w:style w:type="table" w:styleId="1002" w:customStyle="1">
    <w:name w:val="List Table 3 - Accent 3"/>
    <w:uiPriority w:val="99"/>
    <w:qFormat/>
    <w:tblPr>
      <w:tblCellMar>
        <w:left w:w="0" w:type="dxa"/>
        <w:top w:w="0" w:type="dxa"/>
        <w:right w:w="0" w:type="dxa"/>
        <w:bottom w:w="0" w:type="dxa"/>
      </w:tblCellMar>
    </w:tblPr>
  </w:style>
  <w:style w:type="table" w:styleId="1003" w:customStyle="1">
    <w:name w:val="List Table 3 - Accent 4"/>
    <w:uiPriority w:val="99"/>
    <w:qFormat/>
    <w:tblPr>
      <w:tblCellMar>
        <w:left w:w="0" w:type="dxa"/>
        <w:top w:w="0" w:type="dxa"/>
        <w:right w:w="0" w:type="dxa"/>
        <w:bottom w:w="0" w:type="dxa"/>
      </w:tblCellMar>
    </w:tblPr>
  </w:style>
  <w:style w:type="table" w:styleId="1004" w:customStyle="1">
    <w:name w:val="List Table 3 - Accent 5"/>
    <w:uiPriority w:val="99"/>
    <w:qFormat/>
    <w:tblPr>
      <w:tblCellMar>
        <w:left w:w="0" w:type="dxa"/>
        <w:top w:w="0" w:type="dxa"/>
        <w:right w:w="0" w:type="dxa"/>
        <w:bottom w:w="0" w:type="dxa"/>
      </w:tblCellMar>
    </w:tblPr>
  </w:style>
  <w:style w:type="table" w:styleId="1005" w:customStyle="1">
    <w:name w:val="List Table 3 - Accent 6"/>
    <w:uiPriority w:val="99"/>
    <w:qFormat/>
    <w:tblPr>
      <w:tblCellMar>
        <w:left w:w="0" w:type="dxa"/>
        <w:top w:w="0" w:type="dxa"/>
        <w:right w:w="0" w:type="dxa"/>
        <w:bottom w:w="0" w:type="dxa"/>
      </w:tblCellMar>
    </w:tblPr>
  </w:style>
  <w:style w:type="table" w:styleId="1006" w:customStyle="1">
    <w:name w:val="List Table 4 - Accent 1"/>
    <w:uiPriority w:val="99"/>
    <w:qFormat/>
    <w:tblPr>
      <w:tblCellMar>
        <w:left w:w="0" w:type="dxa"/>
        <w:top w:w="0" w:type="dxa"/>
        <w:right w:w="0" w:type="dxa"/>
        <w:bottom w:w="0" w:type="dxa"/>
      </w:tblCellMar>
    </w:tblPr>
  </w:style>
  <w:style w:type="table" w:styleId="1007" w:customStyle="1">
    <w:name w:val="List Table 4 - Accent 2"/>
    <w:uiPriority w:val="99"/>
    <w:qFormat/>
    <w:tblPr>
      <w:tblCellMar>
        <w:left w:w="0" w:type="dxa"/>
        <w:top w:w="0" w:type="dxa"/>
        <w:right w:w="0" w:type="dxa"/>
        <w:bottom w:w="0" w:type="dxa"/>
      </w:tblCellMar>
    </w:tblPr>
  </w:style>
  <w:style w:type="table" w:styleId="1008" w:customStyle="1">
    <w:name w:val="List Table 4 - Accent 3"/>
    <w:uiPriority w:val="99"/>
    <w:qFormat/>
    <w:tblPr>
      <w:tblCellMar>
        <w:left w:w="0" w:type="dxa"/>
        <w:top w:w="0" w:type="dxa"/>
        <w:right w:w="0" w:type="dxa"/>
        <w:bottom w:w="0" w:type="dxa"/>
      </w:tblCellMar>
    </w:tblPr>
  </w:style>
  <w:style w:type="table" w:styleId="1009" w:customStyle="1">
    <w:name w:val="List Table 4 - Accent 4"/>
    <w:uiPriority w:val="99"/>
    <w:qFormat/>
    <w:tblPr>
      <w:tblCellMar>
        <w:left w:w="0" w:type="dxa"/>
        <w:top w:w="0" w:type="dxa"/>
        <w:right w:w="0" w:type="dxa"/>
        <w:bottom w:w="0" w:type="dxa"/>
      </w:tblCellMar>
    </w:tblPr>
  </w:style>
  <w:style w:type="table" w:styleId="1010" w:customStyle="1">
    <w:name w:val="List Table 4 - Accent 5"/>
    <w:uiPriority w:val="99"/>
    <w:qFormat/>
    <w:tblPr>
      <w:tblCellMar>
        <w:left w:w="0" w:type="dxa"/>
        <w:top w:w="0" w:type="dxa"/>
        <w:right w:w="0" w:type="dxa"/>
        <w:bottom w:w="0" w:type="dxa"/>
      </w:tblCellMar>
    </w:tblPr>
  </w:style>
  <w:style w:type="table" w:styleId="1011" w:customStyle="1">
    <w:name w:val="List Table 4 - Accent 6"/>
    <w:uiPriority w:val="99"/>
    <w:qFormat/>
    <w:tblPr>
      <w:tblCellMar>
        <w:left w:w="0" w:type="dxa"/>
        <w:top w:w="0" w:type="dxa"/>
        <w:right w:w="0" w:type="dxa"/>
        <w:bottom w:w="0" w:type="dxa"/>
      </w:tblCellMar>
    </w:tblPr>
  </w:style>
  <w:style w:type="table" w:styleId="1012" w:customStyle="1">
    <w:name w:val="List Table 5 Dark - Accent 1"/>
    <w:uiPriority w:val="99"/>
    <w:qFormat/>
    <w:tblPr>
      <w:tblCellMar>
        <w:left w:w="0" w:type="dxa"/>
        <w:top w:w="0" w:type="dxa"/>
        <w:right w:w="0" w:type="dxa"/>
        <w:bottom w:w="0" w:type="dxa"/>
      </w:tblCellMar>
    </w:tblPr>
  </w:style>
  <w:style w:type="table" w:styleId="1013" w:customStyle="1">
    <w:name w:val="List Table 5 Dark - Accent 2"/>
    <w:uiPriority w:val="99"/>
    <w:qFormat/>
    <w:tblPr>
      <w:tblCellMar>
        <w:left w:w="0" w:type="dxa"/>
        <w:top w:w="0" w:type="dxa"/>
        <w:right w:w="0" w:type="dxa"/>
        <w:bottom w:w="0" w:type="dxa"/>
      </w:tblCellMar>
    </w:tblPr>
  </w:style>
  <w:style w:type="table" w:styleId="1014" w:customStyle="1">
    <w:name w:val="List Table 5 Dark - Accent 3"/>
    <w:uiPriority w:val="99"/>
    <w:qFormat/>
    <w:tblPr>
      <w:tblCellMar>
        <w:left w:w="0" w:type="dxa"/>
        <w:top w:w="0" w:type="dxa"/>
        <w:right w:w="0" w:type="dxa"/>
        <w:bottom w:w="0" w:type="dxa"/>
      </w:tblCellMar>
    </w:tblPr>
  </w:style>
  <w:style w:type="table" w:styleId="1015" w:customStyle="1">
    <w:name w:val="List Table 5 Dark - Accent 4"/>
    <w:uiPriority w:val="99"/>
    <w:qFormat/>
    <w:tblPr>
      <w:tblCellMar>
        <w:left w:w="0" w:type="dxa"/>
        <w:top w:w="0" w:type="dxa"/>
        <w:right w:w="0" w:type="dxa"/>
        <w:bottom w:w="0" w:type="dxa"/>
      </w:tblCellMar>
    </w:tblPr>
  </w:style>
  <w:style w:type="table" w:styleId="1016" w:customStyle="1">
    <w:name w:val="List Table 5 Dark - Accent 5"/>
    <w:uiPriority w:val="99"/>
    <w:qFormat/>
    <w:tblPr>
      <w:tblCellMar>
        <w:left w:w="0" w:type="dxa"/>
        <w:top w:w="0" w:type="dxa"/>
        <w:right w:w="0" w:type="dxa"/>
        <w:bottom w:w="0" w:type="dxa"/>
      </w:tblCellMar>
    </w:tblPr>
  </w:style>
  <w:style w:type="table" w:styleId="1017" w:customStyle="1">
    <w:name w:val="List Table 5 Dark - Accent 6"/>
    <w:uiPriority w:val="99"/>
    <w:qFormat/>
    <w:tblPr>
      <w:tblCellMar>
        <w:left w:w="0" w:type="dxa"/>
        <w:top w:w="0" w:type="dxa"/>
        <w:right w:w="0" w:type="dxa"/>
        <w:bottom w:w="0" w:type="dxa"/>
      </w:tblCellMar>
    </w:tblPr>
  </w:style>
  <w:style w:type="table" w:styleId="1018" w:customStyle="1">
    <w:name w:val="List Table 6 Colorful - Accent 1"/>
    <w:uiPriority w:val="99"/>
    <w:qFormat/>
    <w:tblPr>
      <w:tblCellMar>
        <w:left w:w="0" w:type="dxa"/>
        <w:top w:w="0" w:type="dxa"/>
        <w:right w:w="0" w:type="dxa"/>
        <w:bottom w:w="0" w:type="dxa"/>
      </w:tblCellMar>
    </w:tblPr>
  </w:style>
  <w:style w:type="table" w:styleId="1019" w:customStyle="1">
    <w:name w:val="List Table 6 Colorful - Accent 2"/>
    <w:uiPriority w:val="99"/>
    <w:qFormat/>
    <w:tblPr>
      <w:tblCellMar>
        <w:left w:w="0" w:type="dxa"/>
        <w:top w:w="0" w:type="dxa"/>
        <w:right w:w="0" w:type="dxa"/>
        <w:bottom w:w="0" w:type="dxa"/>
      </w:tblCellMar>
    </w:tblPr>
  </w:style>
  <w:style w:type="table" w:styleId="1020" w:customStyle="1">
    <w:name w:val="List Table 6 Colorful - Accent 3"/>
    <w:uiPriority w:val="99"/>
    <w:qFormat/>
    <w:tblPr>
      <w:tblCellMar>
        <w:left w:w="0" w:type="dxa"/>
        <w:top w:w="0" w:type="dxa"/>
        <w:right w:w="0" w:type="dxa"/>
        <w:bottom w:w="0" w:type="dxa"/>
      </w:tblCellMar>
    </w:tblPr>
  </w:style>
  <w:style w:type="table" w:styleId="1021" w:customStyle="1">
    <w:name w:val="List Table 6 Colorful - Accent 4"/>
    <w:uiPriority w:val="99"/>
    <w:qFormat/>
    <w:tblPr>
      <w:tblCellMar>
        <w:left w:w="0" w:type="dxa"/>
        <w:top w:w="0" w:type="dxa"/>
        <w:right w:w="0" w:type="dxa"/>
        <w:bottom w:w="0" w:type="dxa"/>
      </w:tblCellMar>
    </w:tblPr>
  </w:style>
  <w:style w:type="table" w:styleId="1022" w:customStyle="1">
    <w:name w:val="List Table 6 Colorful - Accent 5"/>
    <w:uiPriority w:val="99"/>
    <w:qFormat/>
    <w:tblPr>
      <w:tblCellMar>
        <w:left w:w="0" w:type="dxa"/>
        <w:top w:w="0" w:type="dxa"/>
        <w:right w:w="0" w:type="dxa"/>
        <w:bottom w:w="0" w:type="dxa"/>
      </w:tblCellMar>
    </w:tblPr>
  </w:style>
  <w:style w:type="table" w:styleId="1023" w:customStyle="1">
    <w:name w:val="List Table 6 Colorful - Accent 6"/>
    <w:uiPriority w:val="99"/>
    <w:qFormat/>
    <w:tblPr>
      <w:tblCellMar>
        <w:left w:w="0" w:type="dxa"/>
        <w:top w:w="0" w:type="dxa"/>
        <w:right w:w="0" w:type="dxa"/>
        <w:bottom w:w="0" w:type="dxa"/>
      </w:tblCellMar>
    </w:tblPr>
  </w:style>
  <w:style w:type="table" w:styleId="1024" w:customStyle="1">
    <w:name w:val="List Table 7 Colorful - Accent 1"/>
    <w:uiPriority w:val="99"/>
    <w:qFormat/>
    <w:tblPr>
      <w:tblCellMar>
        <w:left w:w="0" w:type="dxa"/>
        <w:top w:w="0" w:type="dxa"/>
        <w:right w:w="0" w:type="dxa"/>
        <w:bottom w:w="0" w:type="dxa"/>
      </w:tblCellMar>
    </w:tblPr>
  </w:style>
  <w:style w:type="table" w:styleId="1025" w:customStyle="1">
    <w:name w:val="List Table 7 Colorful - Accent 2"/>
    <w:uiPriority w:val="99"/>
    <w:qFormat/>
    <w:tblPr>
      <w:tblCellMar>
        <w:left w:w="0" w:type="dxa"/>
        <w:top w:w="0" w:type="dxa"/>
        <w:right w:w="0" w:type="dxa"/>
        <w:bottom w:w="0" w:type="dxa"/>
      </w:tblCellMar>
    </w:tblPr>
  </w:style>
  <w:style w:type="table" w:styleId="1026" w:customStyle="1">
    <w:name w:val="List Table 7 Colorful - Accent 3"/>
    <w:uiPriority w:val="99"/>
    <w:qFormat/>
    <w:tblPr>
      <w:tblCellMar>
        <w:left w:w="0" w:type="dxa"/>
        <w:top w:w="0" w:type="dxa"/>
        <w:right w:w="0" w:type="dxa"/>
        <w:bottom w:w="0" w:type="dxa"/>
      </w:tblCellMar>
    </w:tblPr>
  </w:style>
  <w:style w:type="table" w:styleId="1027" w:customStyle="1">
    <w:name w:val="List Table 7 Colorful - Accent 4"/>
    <w:uiPriority w:val="99"/>
    <w:qFormat/>
    <w:tblPr>
      <w:tblCellMar>
        <w:left w:w="0" w:type="dxa"/>
        <w:top w:w="0" w:type="dxa"/>
        <w:right w:w="0" w:type="dxa"/>
        <w:bottom w:w="0" w:type="dxa"/>
      </w:tblCellMar>
    </w:tblPr>
  </w:style>
  <w:style w:type="table" w:styleId="1028" w:customStyle="1">
    <w:name w:val="List Table 7 Colorful - Accent 5"/>
    <w:uiPriority w:val="99"/>
    <w:qFormat/>
    <w:tblPr>
      <w:tblCellMar>
        <w:left w:w="0" w:type="dxa"/>
        <w:top w:w="0" w:type="dxa"/>
        <w:right w:w="0" w:type="dxa"/>
        <w:bottom w:w="0" w:type="dxa"/>
      </w:tblCellMar>
    </w:tblPr>
  </w:style>
  <w:style w:type="table" w:styleId="1029" w:customStyle="1">
    <w:name w:val="List Table 7 Colorful - Accent 6"/>
    <w:uiPriority w:val="99"/>
    <w:qFormat/>
    <w:tblPr>
      <w:tblCellMar>
        <w:left w:w="0" w:type="dxa"/>
        <w:top w:w="0" w:type="dxa"/>
        <w:right w:w="0" w:type="dxa"/>
        <w:bottom w:w="0" w:type="dxa"/>
      </w:tblCellMar>
    </w:tblPr>
  </w:style>
  <w:style w:type="table" w:styleId="1030" w:customStyle="1">
    <w:name w:val="Lined - Accent"/>
    <w:uiPriority w:val="99"/>
    <w:qFormat/>
    <w:rPr>
      <w:color w:val="404040"/>
    </w:rPr>
    <w:tblPr>
      <w:tblCellMar>
        <w:left w:w="0" w:type="dxa"/>
        <w:top w:w="0" w:type="dxa"/>
        <w:right w:w="0" w:type="dxa"/>
        <w:bottom w:w="0" w:type="dxa"/>
      </w:tblCellMar>
    </w:tblPr>
  </w:style>
  <w:style w:type="table" w:styleId="1031" w:customStyle="1">
    <w:name w:val="Lined - Accent 1"/>
    <w:uiPriority w:val="99"/>
    <w:qFormat/>
    <w:rPr>
      <w:color w:val="404040"/>
    </w:rPr>
    <w:tblPr>
      <w:tblCellMar>
        <w:left w:w="0" w:type="dxa"/>
        <w:top w:w="0" w:type="dxa"/>
        <w:right w:w="0" w:type="dxa"/>
        <w:bottom w:w="0" w:type="dxa"/>
      </w:tblCellMar>
    </w:tblPr>
  </w:style>
  <w:style w:type="table" w:styleId="1032" w:customStyle="1">
    <w:name w:val="Lined - Accent 2"/>
    <w:uiPriority w:val="99"/>
    <w:qFormat/>
    <w:rPr>
      <w:color w:val="404040"/>
    </w:rPr>
    <w:tblPr>
      <w:tblCellMar>
        <w:left w:w="0" w:type="dxa"/>
        <w:top w:w="0" w:type="dxa"/>
        <w:right w:w="0" w:type="dxa"/>
        <w:bottom w:w="0" w:type="dxa"/>
      </w:tblCellMar>
    </w:tblPr>
  </w:style>
  <w:style w:type="table" w:styleId="1033" w:customStyle="1">
    <w:name w:val="Lined - Accent 3"/>
    <w:uiPriority w:val="99"/>
    <w:qFormat/>
    <w:rPr>
      <w:color w:val="404040"/>
    </w:rPr>
    <w:tblPr>
      <w:tblCellMar>
        <w:left w:w="0" w:type="dxa"/>
        <w:top w:w="0" w:type="dxa"/>
        <w:right w:w="0" w:type="dxa"/>
        <w:bottom w:w="0" w:type="dxa"/>
      </w:tblCellMar>
    </w:tblPr>
  </w:style>
  <w:style w:type="table" w:styleId="1034" w:customStyle="1">
    <w:name w:val="Lined - Accent 4"/>
    <w:uiPriority w:val="99"/>
    <w:qFormat/>
    <w:rPr>
      <w:color w:val="404040"/>
    </w:rPr>
    <w:tblPr>
      <w:tblCellMar>
        <w:left w:w="0" w:type="dxa"/>
        <w:top w:w="0" w:type="dxa"/>
        <w:right w:w="0" w:type="dxa"/>
        <w:bottom w:w="0" w:type="dxa"/>
      </w:tblCellMar>
    </w:tblPr>
  </w:style>
  <w:style w:type="table" w:styleId="1035" w:customStyle="1">
    <w:name w:val="Lined - Accent 5"/>
    <w:uiPriority w:val="99"/>
    <w:qFormat/>
    <w:rPr>
      <w:color w:val="404040"/>
    </w:rPr>
    <w:tblPr>
      <w:tblCellMar>
        <w:left w:w="0" w:type="dxa"/>
        <w:top w:w="0" w:type="dxa"/>
        <w:right w:w="0" w:type="dxa"/>
        <w:bottom w:w="0" w:type="dxa"/>
      </w:tblCellMar>
    </w:tblPr>
  </w:style>
  <w:style w:type="table" w:styleId="1036" w:customStyle="1">
    <w:name w:val="Lined - Accent 6"/>
    <w:uiPriority w:val="99"/>
    <w:qFormat/>
    <w:rPr>
      <w:color w:val="404040"/>
    </w:rPr>
    <w:tblPr>
      <w:tblCellMar>
        <w:left w:w="0" w:type="dxa"/>
        <w:top w:w="0" w:type="dxa"/>
        <w:right w:w="0" w:type="dxa"/>
        <w:bottom w:w="0" w:type="dxa"/>
      </w:tblCellMar>
    </w:tblPr>
  </w:style>
  <w:style w:type="table" w:styleId="1037" w:customStyle="1">
    <w:name w:val="Bordered &amp; Lined - Accent"/>
    <w:uiPriority w:val="99"/>
    <w:qFormat/>
    <w:rPr>
      <w:color w:val="404040"/>
    </w:rPr>
    <w:tblPr>
      <w:tblCellMar>
        <w:left w:w="0" w:type="dxa"/>
        <w:top w:w="0" w:type="dxa"/>
        <w:right w:w="0" w:type="dxa"/>
        <w:bottom w:w="0" w:type="dxa"/>
      </w:tblCellMar>
    </w:tblPr>
  </w:style>
  <w:style w:type="table" w:styleId="1038" w:customStyle="1">
    <w:name w:val="Bordered &amp; Lined - Accent 1"/>
    <w:uiPriority w:val="99"/>
    <w:qFormat/>
    <w:rPr>
      <w:color w:val="404040"/>
    </w:rPr>
    <w:tblPr>
      <w:tblCellMar>
        <w:left w:w="0" w:type="dxa"/>
        <w:top w:w="0" w:type="dxa"/>
        <w:right w:w="0" w:type="dxa"/>
        <w:bottom w:w="0" w:type="dxa"/>
      </w:tblCellMar>
    </w:tblPr>
  </w:style>
  <w:style w:type="table" w:styleId="1039" w:customStyle="1">
    <w:name w:val="Bordered &amp; Lined - Accent 2"/>
    <w:uiPriority w:val="99"/>
    <w:qFormat/>
    <w:rPr>
      <w:color w:val="404040"/>
    </w:rPr>
    <w:tblPr>
      <w:tblCellMar>
        <w:left w:w="0" w:type="dxa"/>
        <w:top w:w="0" w:type="dxa"/>
        <w:right w:w="0" w:type="dxa"/>
        <w:bottom w:w="0" w:type="dxa"/>
      </w:tblCellMar>
    </w:tblPr>
  </w:style>
  <w:style w:type="table" w:styleId="1040" w:customStyle="1">
    <w:name w:val="Bordered &amp; Lined - Accent 3"/>
    <w:uiPriority w:val="99"/>
    <w:qFormat/>
    <w:rPr>
      <w:color w:val="404040"/>
    </w:rPr>
    <w:tblPr>
      <w:tblCellMar>
        <w:left w:w="0" w:type="dxa"/>
        <w:top w:w="0" w:type="dxa"/>
        <w:right w:w="0" w:type="dxa"/>
        <w:bottom w:w="0" w:type="dxa"/>
      </w:tblCellMar>
    </w:tblPr>
  </w:style>
  <w:style w:type="table" w:styleId="1041" w:customStyle="1">
    <w:name w:val="Bordered &amp; Lined - Accent 4"/>
    <w:uiPriority w:val="99"/>
    <w:qFormat/>
    <w:rPr>
      <w:color w:val="404040"/>
    </w:rPr>
    <w:tblPr>
      <w:tblCellMar>
        <w:left w:w="0" w:type="dxa"/>
        <w:top w:w="0" w:type="dxa"/>
        <w:right w:w="0" w:type="dxa"/>
        <w:bottom w:w="0" w:type="dxa"/>
      </w:tblCellMar>
    </w:tblPr>
  </w:style>
  <w:style w:type="table" w:styleId="1042" w:customStyle="1">
    <w:name w:val="Bordered &amp; Lined - Accent 5"/>
    <w:uiPriority w:val="99"/>
    <w:qFormat/>
    <w:rPr>
      <w:color w:val="404040"/>
    </w:rPr>
    <w:tblPr>
      <w:tblCellMar>
        <w:left w:w="0" w:type="dxa"/>
        <w:top w:w="0" w:type="dxa"/>
        <w:right w:w="0" w:type="dxa"/>
        <w:bottom w:w="0" w:type="dxa"/>
      </w:tblCellMar>
    </w:tblPr>
  </w:style>
  <w:style w:type="table" w:styleId="1043" w:customStyle="1">
    <w:name w:val="Bordered &amp; Lined - Accent 6"/>
    <w:uiPriority w:val="99"/>
    <w:qFormat/>
    <w:rPr>
      <w:color w:val="404040"/>
    </w:rPr>
    <w:tblPr>
      <w:tblCellMar>
        <w:left w:w="0" w:type="dxa"/>
        <w:top w:w="0" w:type="dxa"/>
        <w:right w:w="0" w:type="dxa"/>
        <w:bottom w:w="0" w:type="dxa"/>
      </w:tblCellMar>
    </w:tblPr>
  </w:style>
  <w:style w:type="table" w:styleId="1044" w:customStyle="1">
    <w:name w:val="Bordered"/>
    <w:uiPriority w:val="99"/>
    <w:qFormat/>
    <w:tblPr>
      <w:tblCellMar>
        <w:left w:w="0" w:type="dxa"/>
        <w:top w:w="0" w:type="dxa"/>
        <w:right w:w="0" w:type="dxa"/>
        <w:bottom w:w="0" w:type="dxa"/>
      </w:tblCellMar>
    </w:tblPr>
  </w:style>
  <w:style w:type="table" w:styleId="1045" w:customStyle="1">
    <w:name w:val="Bordered - Accent 1"/>
    <w:uiPriority w:val="99"/>
    <w:qFormat/>
    <w:tblPr>
      <w:tblCellMar>
        <w:left w:w="0" w:type="dxa"/>
        <w:top w:w="0" w:type="dxa"/>
        <w:right w:w="0" w:type="dxa"/>
        <w:bottom w:w="0" w:type="dxa"/>
      </w:tblCellMar>
    </w:tblPr>
  </w:style>
  <w:style w:type="table" w:styleId="1046" w:customStyle="1">
    <w:name w:val="Bordered - Accent 2"/>
    <w:uiPriority w:val="99"/>
    <w:qFormat/>
    <w:tblPr>
      <w:tblCellMar>
        <w:left w:w="0" w:type="dxa"/>
        <w:top w:w="0" w:type="dxa"/>
        <w:right w:w="0" w:type="dxa"/>
        <w:bottom w:w="0" w:type="dxa"/>
      </w:tblCellMar>
    </w:tblPr>
  </w:style>
  <w:style w:type="table" w:styleId="1047" w:customStyle="1">
    <w:name w:val="Bordered - Accent 3"/>
    <w:uiPriority w:val="99"/>
    <w:qFormat/>
    <w:tblPr>
      <w:tblCellMar>
        <w:left w:w="0" w:type="dxa"/>
        <w:top w:w="0" w:type="dxa"/>
        <w:right w:w="0" w:type="dxa"/>
        <w:bottom w:w="0" w:type="dxa"/>
      </w:tblCellMar>
    </w:tblPr>
  </w:style>
  <w:style w:type="table" w:styleId="1048" w:customStyle="1">
    <w:name w:val="Bordered - Accent 4"/>
    <w:uiPriority w:val="99"/>
    <w:qFormat/>
    <w:tblPr>
      <w:tblCellMar>
        <w:left w:w="0" w:type="dxa"/>
        <w:top w:w="0" w:type="dxa"/>
        <w:right w:w="0" w:type="dxa"/>
        <w:bottom w:w="0" w:type="dxa"/>
      </w:tblCellMar>
    </w:tblPr>
  </w:style>
  <w:style w:type="table" w:styleId="1049" w:customStyle="1">
    <w:name w:val="Bordered - Accent 5"/>
    <w:uiPriority w:val="99"/>
    <w:qFormat/>
    <w:tblPr>
      <w:tblCellMar>
        <w:left w:w="0" w:type="dxa"/>
        <w:top w:w="0" w:type="dxa"/>
        <w:right w:w="0" w:type="dxa"/>
        <w:bottom w:w="0" w:type="dxa"/>
      </w:tblCellMar>
    </w:tblPr>
  </w:style>
  <w:style w:type="table" w:styleId="1050" w:customStyle="1">
    <w:name w:val="Bordered - Accent 6"/>
    <w:uiPriority w:val="99"/>
    <w:qFormat/>
    <w:tblPr>
      <w:tblCellMar>
        <w:left w:w="0" w:type="dxa"/>
        <w:top w:w="0" w:type="dxa"/>
        <w:right w:w="0" w:type="dxa"/>
        <w:bottom w:w="0" w:type="dxa"/>
      </w:tblCellMar>
    </w:tblPr>
  </w:style>
  <w:style w:type="paragraph" w:styleId="1051" w:customStyle="1">
    <w:name w:val="TOC 标题11"/>
    <w:uiPriority w:val="39"/>
    <w:unhideWhenUsed/>
    <w:qFormat/>
    <w:rPr>
      <w:rFonts w:ascii="Times New Roman" w:hAnsi="Times New Roman" w:eastAsia="宋体" w:cs="Times New Roman"/>
      <w:lang w:val="en-US" w:eastAsia="zh-CN" w:bidi="ar-SA"/>
    </w:rPr>
  </w:style>
  <w:style w:type="paragraph" w:styleId="1052" w:customStyle="1">
    <w:name w:val="标题 61"/>
    <w:basedOn w:val="796"/>
    <w:next w:val="79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53" w:customStyle="1">
    <w:name w:val="标题 71"/>
    <w:basedOn w:val="796"/>
    <w:next w:val="79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4" w:customStyle="1">
    <w:name w:val="标题 81"/>
    <w:basedOn w:val="796"/>
    <w:next w:val="79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5" w:customStyle="1">
    <w:name w:val="标题 91"/>
    <w:basedOn w:val="796"/>
    <w:next w:val="796"/>
    <w:uiPriority w:val="0"/>
    <w:qFormat/>
    <w:pPr>
      <w:jc w:val="center"/>
      <w:keepNext/>
      <w:spacing w:line="600" w:lineRule="exact"/>
      <w:outlineLvl w:val="8"/>
    </w:pPr>
    <w:rPr>
      <w:rFonts w:ascii="仿宋_GB2312" w:eastAsia="仿宋_GB2312"/>
      <w:sz w:val="32"/>
    </w:rPr>
  </w:style>
  <w:style w:type="character" w:styleId="1056" w:customStyle="1">
    <w:name w:val="默认段落字体1"/>
    <w:uiPriority w:val="1"/>
    <w:unhideWhenUsed/>
    <w:qFormat/>
  </w:style>
  <w:style w:type="table" w:styleId="1057" w:customStyle="1">
    <w:name w:val="普通表格1"/>
    <w:uiPriority w:val="0"/>
    <w:semiHidden/>
    <w:qFormat/>
    <w:tblPr>
      <w:tblCellMar>
        <w:left w:w="0" w:type="dxa"/>
        <w:top w:w="0" w:type="dxa"/>
        <w:right w:w="0" w:type="dxa"/>
        <w:bottom w:w="0" w:type="dxa"/>
      </w:tblCellMar>
    </w:tblPr>
  </w:style>
  <w:style w:type="paragraph" w:styleId="1058" w:customStyle="1">
    <w:name w:val="列表项目符号 41"/>
    <w:basedOn w:val="796"/>
    <w:uiPriority w:val="0"/>
    <w:qFormat/>
    <w:pPr>
      <w:ind w:left="360" w:hanging="360"/>
      <w:spacing w:line="380" w:lineRule="exact"/>
      <w:tabs>
        <w:tab w:val="left" w:pos="360" w:leader="none"/>
      </w:tabs>
    </w:pPr>
    <w:rPr>
      <w:sz w:val="28"/>
    </w:rPr>
  </w:style>
  <w:style w:type="paragraph" w:styleId="1059" w:customStyle="1">
    <w:name w:val="索引 81"/>
    <w:basedOn w:val="796"/>
    <w:next w:val="796"/>
    <w:uiPriority w:val="0"/>
    <w:qFormat/>
    <w:pPr>
      <w:ind w:left="1400"/>
    </w:pPr>
  </w:style>
  <w:style w:type="paragraph" w:styleId="1060" w:customStyle="1">
    <w:name w:val="列表编号1"/>
    <w:basedOn w:val="796"/>
    <w:uiPriority w:val="0"/>
    <w:qFormat/>
    <w:pPr>
      <w:spacing w:line="360" w:lineRule="auto"/>
      <w:tabs>
        <w:tab w:val="left" w:pos="0" w:leader="none"/>
        <w:tab w:val="left" w:pos="840" w:leader="none"/>
      </w:tabs>
    </w:pPr>
  </w:style>
  <w:style w:type="paragraph" w:styleId="1061" w:customStyle="1">
    <w:name w:val="正文缩进11"/>
    <w:basedOn w:val="796"/>
    <w:uiPriority w:val="0"/>
    <w:qFormat/>
    <w:pPr>
      <w:ind w:firstLine="420"/>
    </w:pPr>
    <w:rPr>
      <w:rFonts w:ascii="宋体"/>
      <w:color w:val="000000"/>
      <w:sz w:val="24"/>
      <w:szCs w:val="20"/>
    </w:rPr>
  </w:style>
  <w:style w:type="paragraph" w:styleId="1062" w:customStyle="1">
    <w:name w:val="题注1"/>
    <w:basedOn w:val="796"/>
    <w:next w:val="796"/>
    <w:link w:val="1063"/>
    <w:uiPriority w:val="0"/>
    <w:qFormat/>
    <w:pPr>
      <w:spacing w:line="360" w:lineRule="auto"/>
      <w:tabs>
        <w:tab w:val="left" w:pos="0" w:leader="none"/>
      </w:tabs>
    </w:pPr>
    <w:rPr>
      <w:rFonts w:ascii="Arial" w:hAnsi="Arial" w:eastAsia="黑体"/>
      <w:sz w:val="20"/>
      <w:szCs w:val="20"/>
    </w:rPr>
  </w:style>
  <w:style w:type="character" w:styleId="1063" w:customStyle="1">
    <w:name w:val="题注 字符"/>
    <w:link w:val="1062"/>
    <w:uiPriority w:val="0"/>
    <w:qFormat/>
    <w:rPr>
      <w:rFonts w:ascii="Arial" w:hAnsi="Arial" w:eastAsia="黑体" w:cs="Arial"/>
    </w:rPr>
  </w:style>
  <w:style w:type="paragraph" w:styleId="1064" w:customStyle="1">
    <w:name w:val="索引 51"/>
    <w:basedOn w:val="796"/>
    <w:next w:val="796"/>
    <w:uiPriority w:val="0"/>
    <w:qFormat/>
    <w:pPr>
      <w:ind w:left="800"/>
    </w:pPr>
  </w:style>
  <w:style w:type="paragraph" w:styleId="1065" w:customStyle="1">
    <w:name w:val="列表项目符号1"/>
    <w:basedOn w:val="796"/>
    <w:uiPriority w:val="0"/>
    <w:qFormat/>
    <w:pPr>
      <w:ind w:left="962" w:hanging="480"/>
      <w:spacing w:line="360" w:lineRule="auto"/>
      <w:tabs>
        <w:tab w:val="left" w:pos="840" w:leader="none"/>
      </w:tabs>
    </w:pPr>
    <w:rPr>
      <w:sz w:val="24"/>
    </w:rPr>
  </w:style>
  <w:style w:type="paragraph" w:styleId="1066" w:customStyle="1">
    <w:name w:val="文档结构图1"/>
    <w:basedOn w:val="796"/>
    <w:uiPriority w:val="0"/>
    <w:qFormat/>
    <w:pPr>
      <w:shd w:val="clear" w:color="auto" w:fill="000080"/>
    </w:pPr>
  </w:style>
  <w:style w:type="paragraph" w:styleId="1067" w:customStyle="1">
    <w:name w:val="批注文字1"/>
    <w:basedOn w:val="796"/>
    <w:link w:val="1068"/>
    <w:uiPriority w:val="99"/>
    <w:qFormat/>
    <w:pPr>
      <w:jc w:val="left"/>
    </w:pPr>
    <w:rPr>
      <w:szCs w:val="20"/>
    </w:rPr>
  </w:style>
  <w:style w:type="character" w:styleId="1068" w:customStyle="1">
    <w:name w:val="批注文字 字符"/>
    <w:link w:val="1067"/>
    <w:uiPriority w:val="99"/>
    <w:qFormat/>
    <w:rPr>
      <w:rFonts w:ascii="Calibri" w:hAnsi="Calibri" w:eastAsia="宋体" w:cs="Times New Roman"/>
      <w:sz w:val="21"/>
    </w:rPr>
  </w:style>
  <w:style w:type="paragraph" w:styleId="1069" w:customStyle="1">
    <w:name w:val="索引 61"/>
    <w:basedOn w:val="796"/>
    <w:next w:val="796"/>
    <w:uiPriority w:val="0"/>
    <w:qFormat/>
    <w:pPr>
      <w:ind w:left="1000"/>
    </w:pPr>
  </w:style>
  <w:style w:type="paragraph" w:styleId="1070" w:customStyle="1">
    <w:name w:val="正文文本 31"/>
    <w:basedOn w:val="796"/>
    <w:uiPriority w:val="0"/>
    <w:qFormat/>
    <w:rPr>
      <w:color w:val="000000"/>
    </w:rPr>
  </w:style>
  <w:style w:type="paragraph" w:styleId="1071" w:customStyle="1">
    <w:name w:val="列表项目符号 31"/>
    <w:basedOn w:val="796"/>
    <w:uiPriority w:val="0"/>
    <w:qFormat/>
    <w:pPr>
      <w:ind w:left="1200" w:hanging="360"/>
      <w:spacing w:line="380" w:lineRule="exact"/>
      <w:tabs>
        <w:tab w:val="left" w:pos="1200" w:leader="none"/>
      </w:tabs>
    </w:pPr>
    <w:rPr>
      <w:sz w:val="28"/>
    </w:rPr>
  </w:style>
  <w:style w:type="paragraph" w:styleId="1072" w:customStyle="1">
    <w:name w:val="正文文本1"/>
    <w:basedOn w:val="796"/>
    <w:uiPriority w:val="0"/>
    <w:qFormat/>
    <w:pPr>
      <w:spacing w:line="60" w:lineRule="auto"/>
    </w:pPr>
    <w:rPr>
      <w:rFonts w:ascii="仿宋_GB2312" w:eastAsia="仿宋_GB2312"/>
      <w:sz w:val="32"/>
    </w:rPr>
  </w:style>
  <w:style w:type="paragraph" w:styleId="1073" w:customStyle="1">
    <w:name w:val="正文文本缩进1"/>
    <w:basedOn w:val="796"/>
    <w:uiPriority w:val="0"/>
    <w:qFormat/>
    <w:pPr>
      <w:ind w:firstLine="225"/>
    </w:pPr>
    <w:rPr>
      <w:rFonts w:ascii="仿宋_GB2312" w:eastAsia="仿宋_GB2312"/>
      <w:sz w:val="32"/>
    </w:rPr>
  </w:style>
  <w:style w:type="paragraph" w:styleId="1074" w:customStyle="1">
    <w:name w:val="文本块1"/>
    <w:basedOn w:val="796"/>
    <w:uiPriority w:val="0"/>
    <w:qFormat/>
    <w:pPr>
      <w:ind w:left="1548" w:right="12" w:hanging="2405"/>
      <w:spacing w:line="360" w:lineRule="exact"/>
    </w:pPr>
    <w:rPr>
      <w:rFonts w:ascii="宋体"/>
      <w:bCs/>
      <w:sz w:val="28"/>
    </w:rPr>
  </w:style>
  <w:style w:type="paragraph" w:styleId="1075" w:customStyle="1">
    <w:name w:val="列表项目符号 21"/>
    <w:basedOn w:val="796"/>
    <w:uiPriority w:val="0"/>
    <w:qFormat/>
    <w:pPr>
      <w:ind w:left="720" w:hanging="360"/>
      <w:spacing w:line="360" w:lineRule="auto"/>
      <w:tabs>
        <w:tab w:val="left" w:pos="720" w:leader="none"/>
      </w:tabs>
    </w:pPr>
    <w:rPr>
      <w:sz w:val="24"/>
    </w:rPr>
  </w:style>
  <w:style w:type="paragraph" w:styleId="1076" w:customStyle="1">
    <w:name w:val="HTML 地址1"/>
    <w:basedOn w:val="796"/>
    <w:uiPriority w:val="0"/>
    <w:qFormat/>
    <w:rPr>
      <w:i/>
      <w:iCs/>
    </w:rPr>
  </w:style>
  <w:style w:type="paragraph" w:styleId="1077" w:customStyle="1">
    <w:name w:val="索引 41"/>
    <w:basedOn w:val="796"/>
    <w:next w:val="796"/>
    <w:uiPriority w:val="0"/>
    <w:qFormat/>
    <w:pPr>
      <w:ind w:left="600"/>
    </w:pPr>
  </w:style>
  <w:style w:type="paragraph" w:styleId="1078" w:customStyle="1">
    <w:name w:val="纯文本11"/>
    <w:basedOn w:val="796"/>
    <w:link w:val="1079"/>
    <w:uiPriority w:val="0"/>
    <w:qFormat/>
    <w:rPr>
      <w:rFonts w:ascii="宋体"/>
      <w:szCs w:val="21"/>
    </w:rPr>
  </w:style>
  <w:style w:type="character" w:styleId="1079" w:customStyle="1">
    <w:name w:val="纯文本 字符"/>
    <w:link w:val="1078"/>
    <w:uiPriority w:val="0"/>
    <w:qFormat/>
    <w:rPr>
      <w:rFonts w:ascii="宋体" w:hAnsi="Calibri" w:eastAsia="宋体"/>
      <w:sz w:val="21"/>
      <w:szCs w:val="21"/>
      <w:lang w:val="en-US" w:eastAsia="zh-CN" w:bidi="ar-SA"/>
    </w:rPr>
  </w:style>
  <w:style w:type="paragraph" w:styleId="1080" w:customStyle="1">
    <w:name w:val="列表项目符号 51"/>
    <w:basedOn w:val="796"/>
    <w:uiPriority w:val="0"/>
    <w:qFormat/>
    <w:pPr>
      <w:ind w:left="720" w:hanging="360"/>
      <w:spacing w:line="380" w:lineRule="exact"/>
      <w:tabs>
        <w:tab w:val="left" w:pos="720" w:leader="none"/>
      </w:tabs>
    </w:pPr>
    <w:rPr>
      <w:sz w:val="28"/>
    </w:rPr>
  </w:style>
  <w:style w:type="paragraph" w:styleId="1081" w:customStyle="1">
    <w:name w:val="索引 31"/>
    <w:basedOn w:val="796"/>
    <w:next w:val="796"/>
    <w:uiPriority w:val="0"/>
    <w:qFormat/>
    <w:pPr>
      <w:ind w:left="400"/>
    </w:pPr>
  </w:style>
  <w:style w:type="paragraph" w:styleId="1082" w:customStyle="1">
    <w:name w:val="日期1"/>
    <w:basedOn w:val="796"/>
    <w:next w:val="796"/>
    <w:uiPriority w:val="0"/>
    <w:qFormat/>
    <w:pPr>
      <w:ind w:left="2500"/>
    </w:pPr>
  </w:style>
  <w:style w:type="paragraph" w:styleId="1083" w:customStyle="1">
    <w:name w:val="正文文本缩进 21"/>
    <w:basedOn w:val="796"/>
    <w:uiPriority w:val="0"/>
    <w:qFormat/>
    <w:pPr>
      <w:ind w:firstLine="225"/>
      <w:jc w:val="left"/>
      <w:spacing w:line="540" w:lineRule="exact"/>
    </w:pPr>
    <w:rPr>
      <w:rFonts w:ascii="仿宋_GB2312" w:eastAsia="仿宋_GB2312"/>
      <w:sz w:val="32"/>
    </w:rPr>
  </w:style>
  <w:style w:type="paragraph" w:styleId="1084" w:customStyle="1">
    <w:name w:val="尾注文本1"/>
    <w:basedOn w:val="796"/>
    <w:uiPriority w:val="0"/>
    <w:qFormat/>
    <w:pPr>
      <w:jc w:val="left"/>
      <w:widowControl/>
    </w:pPr>
    <w:rPr>
      <w:rFonts w:ascii="宋体"/>
      <w:bCs/>
      <w:szCs w:val="21"/>
    </w:rPr>
  </w:style>
  <w:style w:type="paragraph" w:styleId="1085" w:customStyle="1">
    <w:name w:val="批注框文本1"/>
    <w:basedOn w:val="796"/>
    <w:uiPriority w:val="0"/>
    <w:qFormat/>
    <w:rPr>
      <w:sz w:val="18"/>
      <w:szCs w:val="20"/>
    </w:rPr>
  </w:style>
  <w:style w:type="paragraph" w:styleId="1086" w:customStyle="1">
    <w:name w:val="页脚1"/>
    <w:basedOn w:val="796"/>
    <w:uiPriority w:val="0"/>
    <w:qFormat/>
    <w:pPr>
      <w:jc w:val="left"/>
      <w:tabs>
        <w:tab w:val="center" w:pos="4153" w:leader="none"/>
        <w:tab w:val="right" w:pos="8306" w:leader="none"/>
      </w:tabs>
    </w:pPr>
    <w:rPr>
      <w:sz w:val="18"/>
      <w:szCs w:val="18"/>
    </w:rPr>
  </w:style>
  <w:style w:type="paragraph" w:styleId="1087" w:customStyle="1">
    <w:name w:val="页眉1"/>
    <w:basedOn w:val="796"/>
    <w:uiPriority w:val="0"/>
    <w:qFormat/>
    <w:pPr>
      <w:jc w:val="center"/>
      <w:tabs>
        <w:tab w:val="center" w:pos="4153" w:leader="none"/>
        <w:tab w:val="right" w:pos="8306" w:leader="none"/>
      </w:tabs>
      <w:pBdr>
        <w:bottom w:val="single" w:color="000000" w:sz="6" w:space="1"/>
      </w:pBdr>
    </w:pPr>
    <w:rPr>
      <w:sz w:val="18"/>
      <w:szCs w:val="18"/>
    </w:rPr>
  </w:style>
  <w:style w:type="paragraph" w:styleId="1088" w:customStyle="1">
    <w:name w:val="索引标题1"/>
    <w:basedOn w:val="796"/>
    <w:next w:val="1089"/>
    <w:uiPriority w:val="0"/>
    <w:qFormat/>
  </w:style>
  <w:style w:type="paragraph" w:styleId="1089" w:customStyle="1">
    <w:name w:val="索引 111"/>
    <w:basedOn w:val="796"/>
    <w:next w:val="796"/>
    <w:uiPriority w:val="0"/>
    <w:qFormat/>
  </w:style>
  <w:style w:type="paragraph" w:styleId="1090" w:customStyle="1">
    <w:name w:val="脚注文本1"/>
    <w:basedOn w:val="796"/>
    <w:uiPriority w:val="0"/>
    <w:qFormat/>
    <w:pPr>
      <w:jc w:val="left"/>
    </w:pPr>
    <w:rPr>
      <w:rFonts w:ascii="宋体"/>
      <w:bCs/>
      <w:sz w:val="18"/>
      <w:szCs w:val="18"/>
    </w:rPr>
  </w:style>
  <w:style w:type="paragraph" w:styleId="1091" w:customStyle="1">
    <w:name w:val="正文文本缩进 31"/>
    <w:basedOn w:val="796"/>
    <w:uiPriority w:val="0"/>
    <w:qFormat/>
    <w:pPr>
      <w:ind w:firstLine="213"/>
    </w:pPr>
    <w:rPr>
      <w:rFonts w:ascii="仿宋_GB2312" w:eastAsia="仿宋_GB2312"/>
      <w:sz w:val="30"/>
    </w:rPr>
  </w:style>
  <w:style w:type="paragraph" w:styleId="1092" w:customStyle="1">
    <w:name w:val="索引 71"/>
    <w:basedOn w:val="796"/>
    <w:next w:val="796"/>
    <w:uiPriority w:val="0"/>
    <w:qFormat/>
    <w:pPr>
      <w:ind w:left="1200"/>
    </w:pPr>
  </w:style>
  <w:style w:type="paragraph" w:styleId="1093" w:customStyle="1">
    <w:name w:val="索引 91"/>
    <w:basedOn w:val="796"/>
    <w:next w:val="796"/>
    <w:uiPriority w:val="0"/>
    <w:qFormat/>
    <w:pPr>
      <w:ind w:left="1600"/>
    </w:pPr>
  </w:style>
  <w:style w:type="paragraph" w:styleId="1094" w:customStyle="1">
    <w:name w:val="图表目录11"/>
    <w:basedOn w:val="796"/>
    <w:next w:val="796"/>
    <w:uiPriority w:val="0"/>
    <w:qFormat/>
    <w:pPr>
      <w:ind w:left="400" w:hanging="200"/>
      <w:jc w:val="left"/>
      <w:widowControl/>
    </w:pPr>
    <w:rPr>
      <w:rFonts w:ascii="宋体"/>
      <w:bCs/>
      <w:szCs w:val="21"/>
    </w:rPr>
  </w:style>
  <w:style w:type="paragraph" w:styleId="1095" w:customStyle="1">
    <w:name w:val="正文文本 21"/>
    <w:basedOn w:val="796"/>
    <w:uiPriority w:val="0"/>
    <w:qFormat/>
    <w:pPr>
      <w:spacing w:line="560" w:lineRule="exact"/>
    </w:pPr>
    <w:rPr>
      <w:rFonts w:ascii="仿宋_GB2312" w:eastAsia="仿宋_GB2312"/>
      <w:sz w:val="28"/>
      <w:szCs w:val="30"/>
    </w:rPr>
  </w:style>
  <w:style w:type="paragraph" w:styleId="1096" w:customStyle="1">
    <w:name w:val="列表接续 21"/>
    <w:basedOn w:val="796"/>
    <w:uiPriority w:val="0"/>
    <w:qFormat/>
    <w:pPr>
      <w:ind w:left="840"/>
      <w:spacing w:after="120"/>
    </w:pPr>
  </w:style>
  <w:style w:type="paragraph" w:styleId="1097" w:customStyle="1">
    <w:name w:val="HTML 预设格式1"/>
    <w:basedOn w:val="7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8" w:customStyle="1">
    <w:name w:val="普通(网站)1"/>
    <w:basedOn w:val="796"/>
    <w:uiPriority w:val="99"/>
    <w:qFormat/>
    <w:pPr>
      <w:jc w:val="left"/>
      <w:spacing w:before="100" w:beforeAutospacing="1" w:after="100" w:afterAutospacing="1"/>
      <w:widowControl/>
    </w:pPr>
    <w:rPr>
      <w:rFonts w:ascii="宋体"/>
      <w:sz w:val="24"/>
      <w:szCs w:val="20"/>
    </w:rPr>
  </w:style>
  <w:style w:type="paragraph" w:styleId="1099" w:customStyle="1">
    <w:name w:val="索引 21"/>
    <w:basedOn w:val="796"/>
    <w:next w:val="796"/>
    <w:uiPriority w:val="0"/>
    <w:qFormat/>
    <w:pPr>
      <w:ind w:left="200"/>
    </w:pPr>
  </w:style>
  <w:style w:type="paragraph" w:styleId="1100" w:customStyle="1">
    <w:name w:val="标题1"/>
    <w:basedOn w:val="796"/>
    <w:uiPriority w:val="0"/>
    <w:qFormat/>
    <w:pPr>
      <w:jc w:val="center"/>
      <w:spacing w:before="240" w:after="60"/>
      <w:outlineLvl w:val="0"/>
    </w:pPr>
    <w:rPr>
      <w:rFonts w:ascii="Cambria" w:hAnsi="Cambria"/>
      <w:b/>
      <w:bCs/>
      <w:sz w:val="32"/>
      <w:szCs w:val="32"/>
    </w:rPr>
  </w:style>
  <w:style w:type="paragraph" w:styleId="1101" w:customStyle="1">
    <w:name w:val="批注主题1"/>
    <w:basedOn w:val="1067"/>
    <w:next w:val="1067"/>
    <w:uiPriority w:val="0"/>
    <w:qFormat/>
    <w:rPr>
      <w:b/>
    </w:rPr>
  </w:style>
  <w:style w:type="paragraph" w:styleId="1102" w:customStyle="1">
    <w:name w:val="正文文本首行缩进1"/>
    <w:basedOn w:val="1103"/>
    <w:next w:val="1103"/>
    <w:uiPriority w:val="0"/>
    <w:qFormat/>
    <w:pPr>
      <w:ind w:firstLine="100"/>
      <w:spacing w:after="120"/>
    </w:pPr>
    <w:rPr>
      <w:rFonts w:ascii="Times New Roman" w:hAnsi="Times New Roman" w:eastAsia="宋体"/>
      <w:sz w:val="21"/>
    </w:rPr>
  </w:style>
  <w:style w:type="paragraph" w:styleId="1103" w:customStyle="1">
    <w:name w:val="Normal_19_0"/>
    <w:basedOn w:val="863"/>
    <w:next w:val="1104"/>
    <w:uiPriority w:val="0"/>
    <w:qFormat/>
    <w:rPr>
      <w:rFonts w:ascii="黑体" w:hAnsi="黑体" w:eastAsia="黑体"/>
      <w:b/>
      <w:sz w:val="32"/>
    </w:rPr>
  </w:style>
  <w:style w:type="paragraph" w:styleId="1104" w:customStyle="1">
    <w:name w:val="Body Text First Indent_1_0"/>
    <w:basedOn w:val="1103"/>
    <w:uiPriority w:val="0"/>
    <w:qFormat/>
    <w:pPr>
      <w:ind w:firstLine="100"/>
      <w:spacing w:after="120"/>
    </w:pPr>
  </w:style>
  <w:style w:type="paragraph" w:styleId="1105" w:customStyle="1">
    <w:name w:val="正文文本首行缩进 211"/>
    <w:basedOn w:val="904"/>
    <w:link w:val="1106"/>
    <w:uiPriority w:val="0"/>
    <w:qFormat/>
    <w:pPr>
      <w:ind w:left="200" w:firstLine="200"/>
    </w:pPr>
    <w:rPr>
      <w:rFonts w:ascii="Times New Roman" w:hAnsi="Times New Roman"/>
      <w:sz w:val="24"/>
      <w:szCs w:val="24"/>
    </w:rPr>
  </w:style>
  <w:style w:type="character" w:styleId="1106" w:customStyle="1">
    <w:name w:val="正文文本首行缩进 2 字符"/>
    <w:link w:val="1105"/>
    <w:uiPriority w:val="0"/>
    <w:qFormat/>
    <w:rPr>
      <w:rFonts w:eastAsia="仿宋_GB2312"/>
      <w:sz w:val="24"/>
      <w:szCs w:val="24"/>
      <w:lang w:bidi="ar-SA"/>
    </w:rPr>
  </w:style>
  <w:style w:type="table" w:styleId="1107" w:customStyle="1">
    <w:name w:val="网格型1"/>
    <w:basedOn w:val="1057"/>
    <w:uiPriority w:val="0"/>
    <w:qFormat/>
    <w:tblPr/>
  </w:style>
  <w:style w:type="character" w:styleId="1108" w:customStyle="1">
    <w:name w:val="要点1"/>
    <w:uiPriority w:val="0"/>
    <w:qFormat/>
    <w:rPr>
      <w:b/>
    </w:rPr>
  </w:style>
  <w:style w:type="character" w:styleId="1109" w:customStyle="1">
    <w:name w:val="尾注引用1"/>
    <w:uiPriority w:val="0"/>
    <w:qFormat/>
    <w:rPr>
      <w:vertAlign w:val="superscript"/>
    </w:rPr>
  </w:style>
  <w:style w:type="character" w:styleId="1110" w:customStyle="1">
    <w:name w:val="页码1"/>
    <w:uiPriority w:val="0"/>
    <w:qFormat/>
  </w:style>
  <w:style w:type="character" w:styleId="1111" w:customStyle="1">
    <w:name w:val="访问过的超链接1"/>
    <w:uiPriority w:val="0"/>
    <w:qFormat/>
    <w:rPr>
      <w:color w:val="800080"/>
      <w:u w:val="single"/>
    </w:rPr>
  </w:style>
  <w:style w:type="character" w:styleId="1112" w:customStyle="1">
    <w:name w:val="强调1"/>
    <w:uiPriority w:val="0"/>
    <w:qFormat/>
    <w:rPr>
      <w:color w:val="cc0033"/>
    </w:rPr>
  </w:style>
  <w:style w:type="character" w:styleId="1113" w:customStyle="1">
    <w:name w:val="HTML 打字机1"/>
    <w:uiPriority w:val="0"/>
    <w:qFormat/>
    <w:rPr>
      <w:rFonts w:ascii="宋体" w:eastAsia="宋体" w:cs="宋体"/>
      <w:sz w:val="24"/>
      <w:szCs w:val="24"/>
      <w:lang w:bidi="ar-SA"/>
    </w:rPr>
  </w:style>
  <w:style w:type="character" w:styleId="1114" w:customStyle="1">
    <w:name w:val="超链接1"/>
    <w:uiPriority w:val="99"/>
    <w:qFormat/>
    <w:rPr>
      <w:color w:val="0000ff"/>
      <w:u w:val="single"/>
    </w:rPr>
  </w:style>
  <w:style w:type="character" w:styleId="1115" w:customStyle="1">
    <w:name w:val="批注引用1"/>
    <w:uiPriority w:val="0"/>
    <w:qFormat/>
    <w:rPr>
      <w:sz w:val="21"/>
    </w:rPr>
  </w:style>
  <w:style w:type="character" w:styleId="1116" w:customStyle="1">
    <w:name w:val="脚注引用1"/>
    <w:uiPriority w:val="0"/>
    <w:qFormat/>
    <w:rPr>
      <w:vertAlign w:val="superscript"/>
    </w:rPr>
  </w:style>
  <w:style w:type="paragraph" w:styleId="1117" w:customStyle="1">
    <w:name w:val="正文（标记）"/>
    <w:basedOn w:val="796"/>
    <w:link w:val="1118"/>
    <w:uiPriority w:val="0"/>
    <w:qFormat/>
    <w:pPr>
      <w:spacing w:before="50" w:after="50"/>
      <w:tabs>
        <w:tab w:val="left" w:pos="0" w:leader="none"/>
        <w:tab w:val="left" w:pos="840" w:leader="none"/>
      </w:tabs>
    </w:pPr>
    <w:rPr>
      <w:rFonts w:ascii="Times New Roman" w:hAnsi="Times New Roman"/>
      <w:sz w:val="24"/>
      <w:szCs w:val="24"/>
    </w:rPr>
  </w:style>
  <w:style w:type="character" w:styleId="1118" w:customStyle="1">
    <w:name w:val="正文（标记） Char2"/>
    <w:link w:val="1117"/>
    <w:uiPriority w:val="0"/>
    <w:qFormat/>
    <w:rPr>
      <w:sz w:val="24"/>
      <w:szCs w:val="24"/>
    </w:rPr>
  </w:style>
  <w:style w:type="character" w:styleId="1119" w:customStyle="1">
    <w:name w:val="Char Char2"/>
    <w:uiPriority w:val="0"/>
    <w:qFormat/>
    <w:rPr>
      <w:sz w:val="18"/>
      <w:szCs w:val="18"/>
    </w:rPr>
  </w:style>
  <w:style w:type="character" w:styleId="1120" w:customStyle="1">
    <w:name w:val="maywed421"/>
    <w:uiPriority w:val="0"/>
    <w:qFormat/>
    <w:rPr>
      <w:color w:val="366fb6"/>
      <w:u w:val="none"/>
    </w:rPr>
  </w:style>
  <w:style w:type="paragraph" w:styleId="1121"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12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123" w:customStyle="1">
    <w:name w:val="Comment Text Char"/>
    <w:uiPriority w:val="0"/>
    <w:qFormat/>
    <w:rPr>
      <w:rFonts w:cs="Times New Roman"/>
      <w:sz w:val="21"/>
      <w:szCs w:val="21"/>
      <w:lang w:bidi="ar-SA"/>
    </w:rPr>
  </w:style>
  <w:style w:type="character" w:styleId="1124" w:customStyle="1">
    <w:name w:val="Footer Char"/>
    <w:uiPriority w:val="99"/>
    <w:qFormat/>
    <w:rPr>
      <w:rFonts w:eastAsia="宋体"/>
      <w:sz w:val="18"/>
      <w:lang w:val="en-US" w:eastAsia="zh-CN"/>
    </w:rPr>
  </w:style>
  <w:style w:type="character" w:styleId="1125" w:customStyle="1">
    <w:name w:val="ca-41"/>
    <w:uiPriority w:val="0"/>
    <w:qFormat/>
    <w:rPr>
      <w:rFonts w:ascii="宋体" w:eastAsia="宋体"/>
      <w:b/>
      <w:bCs/>
      <w:color w:val="000000"/>
      <w:spacing w:val="-20"/>
      <w:sz w:val="21"/>
      <w:szCs w:val="21"/>
    </w:rPr>
  </w:style>
  <w:style w:type="character" w:styleId="1126" w:customStyle="1">
    <w:name w:val="ca-1"/>
    <w:uiPriority w:val="0"/>
    <w:qFormat/>
  </w:style>
  <w:style w:type="character" w:styleId="1127" w:customStyle="1">
    <w:name w:val="Plain Text Char"/>
    <w:uiPriority w:val="0"/>
    <w:qFormat/>
    <w:rPr>
      <w:rFonts w:ascii="宋体" w:eastAsia="宋体"/>
      <w:sz w:val="21"/>
      <w:lang w:val="en-US" w:eastAsia="zh-CN"/>
    </w:rPr>
  </w:style>
  <w:style w:type="character" w:styleId="1128" w:customStyle="1">
    <w:name w:val="Header Char"/>
    <w:uiPriority w:val="0"/>
    <w:qFormat/>
    <w:rPr>
      <w:rFonts w:eastAsia="宋体"/>
      <w:sz w:val="18"/>
      <w:lang w:val="en-US" w:eastAsia="zh-CN"/>
    </w:rPr>
  </w:style>
  <w:style w:type="character" w:styleId="1129" w:customStyle="1">
    <w:name w:val="marklong"/>
    <w:uiPriority w:val="0"/>
    <w:qFormat/>
  </w:style>
  <w:style w:type="character" w:styleId="1130" w:customStyle="1">
    <w:name w:val="普通文字1 Char"/>
    <w:uiPriority w:val="0"/>
    <w:qFormat/>
    <w:rPr>
      <w:rFonts w:ascii="宋体" w:eastAsia="宋体" w:cs="Courier New"/>
      <w:sz w:val="21"/>
      <w:szCs w:val="21"/>
      <w:lang w:val="en-US" w:eastAsia="zh-CN" w:bidi="ar-SA"/>
    </w:rPr>
  </w:style>
  <w:style w:type="character" w:styleId="1131" w:customStyle="1">
    <w:name w:val="ca-21"/>
    <w:uiPriority w:val="0"/>
    <w:qFormat/>
    <w:rPr>
      <w:rFonts w:ascii="宋体" w:eastAsia="宋体"/>
      <w:sz w:val="21"/>
    </w:rPr>
  </w:style>
  <w:style w:type="paragraph" w:styleId="1132" w:customStyle="1">
    <w:name w:val="正文（缩进）"/>
    <w:basedOn w:val="796"/>
    <w:uiPriority w:val="0"/>
    <w:qFormat/>
    <w:pPr>
      <w:ind w:firstLine="200"/>
      <w:spacing w:before="50" w:after="50" w:line="360" w:lineRule="auto"/>
    </w:pPr>
    <w:rPr>
      <w:sz w:val="24"/>
    </w:rPr>
  </w:style>
  <w:style w:type="character" w:styleId="1133" w:customStyle="1">
    <w:name w:val="Heading 3 Char"/>
    <w:uiPriority w:val="0"/>
    <w:qFormat/>
    <w:rPr>
      <w:rFonts w:cs="Times New Roman"/>
      <w:b/>
      <w:bCs/>
      <w:sz w:val="32"/>
      <w:szCs w:val="32"/>
      <w:lang w:bidi="ar-SA"/>
    </w:rPr>
  </w:style>
  <w:style w:type="character" w:styleId="1134" w:customStyle="1">
    <w:name w:val="z12 style23"/>
    <w:uiPriority w:val="0"/>
    <w:qFormat/>
  </w:style>
  <w:style w:type="paragraph" w:styleId="1135" w:customStyle="1">
    <w:name w:val="Indent Normal"/>
    <w:basedOn w:val="796"/>
    <w:uiPriority w:val="0"/>
    <w:qFormat/>
    <w:pPr>
      <w:ind w:firstLine="150"/>
    </w:pPr>
    <w:rPr>
      <w:sz w:val="24"/>
      <w:szCs w:val="20"/>
    </w:rPr>
  </w:style>
  <w:style w:type="character" w:styleId="1136" w:customStyle="1">
    <w:name w:val="Char Char21"/>
    <w:uiPriority w:val="0"/>
    <w:qFormat/>
    <w:rPr>
      <w:sz w:val="18"/>
      <w:szCs w:val="18"/>
    </w:rPr>
  </w:style>
  <w:style w:type="character" w:styleId="1137" w:customStyle="1">
    <w:name w:val="ca-31"/>
    <w:uiPriority w:val="0"/>
    <w:qFormat/>
    <w:rPr>
      <w:rFonts w:ascii="宋体" w:eastAsia="宋体"/>
      <w:color w:val="000000"/>
      <w:sz w:val="21"/>
      <w:szCs w:val="21"/>
    </w:rPr>
  </w:style>
  <w:style w:type="character" w:styleId="1138" w:customStyle="1">
    <w:name w:val="apple-converted-space"/>
    <w:uiPriority w:val="0"/>
    <w:qFormat/>
  </w:style>
  <w:style w:type="character" w:styleId="1139" w:customStyle="1">
    <w:name w:val="Char Char1"/>
    <w:uiPriority w:val="0"/>
    <w:qFormat/>
    <w:rPr>
      <w:rFonts w:ascii="宋体" w:eastAsia="宋体"/>
      <w:sz w:val="21"/>
      <w:lang w:val="en-US" w:eastAsia="zh-CN"/>
    </w:rPr>
  </w:style>
  <w:style w:type="character" w:styleId="1140" w:customStyle="1">
    <w:name w:val="font21"/>
    <w:uiPriority w:val="0"/>
    <w:qFormat/>
    <w:rPr>
      <w:rFonts w:ascii="Times New Roman" w:hAnsi="Times New Roman"/>
      <w:color w:val="000000"/>
      <w:sz w:val="20"/>
      <w:u w:val="none"/>
    </w:rPr>
  </w:style>
  <w:style w:type="character" w:styleId="1141" w:customStyle="1">
    <w:name w:val="ca-01"/>
    <w:uiPriority w:val="0"/>
    <w:qFormat/>
    <w:rPr>
      <w:rFonts w:ascii="宋体" w:eastAsia="宋体"/>
      <w:b/>
      <w:bCs/>
      <w:spacing w:val="-20"/>
      <w:sz w:val="24"/>
      <w:szCs w:val="24"/>
    </w:rPr>
  </w:style>
  <w:style w:type="character" w:styleId="1142" w:customStyle="1">
    <w:name w:val="Char Char23"/>
    <w:uiPriority w:val="0"/>
    <w:qFormat/>
    <w:rPr>
      <w:sz w:val="24"/>
      <w:szCs w:val="21"/>
      <w:lang w:bidi="ar-SA"/>
    </w:rPr>
  </w:style>
  <w:style w:type="character" w:styleId="1143" w:customStyle="1">
    <w:name w:val="Char Char"/>
    <w:uiPriority w:val="0"/>
    <w:qFormat/>
    <w:rPr>
      <w:rFonts w:eastAsia="宋体"/>
      <w:sz w:val="18"/>
      <w:lang w:val="en-US" w:eastAsia="zh-CN"/>
    </w:rPr>
  </w:style>
  <w:style w:type="character" w:styleId="1144" w:customStyle="1">
    <w:name w:val="Char Char3"/>
    <w:uiPriority w:val="0"/>
    <w:qFormat/>
    <w:rPr>
      <w:rFonts w:ascii="宋体" w:eastAsia="宋体"/>
      <w:sz w:val="18"/>
      <w:szCs w:val="18"/>
      <w:lang w:val="en-US" w:eastAsia="zh-CN" w:bidi="ar-SA"/>
    </w:rPr>
  </w:style>
  <w:style w:type="paragraph" w:styleId="1145"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146" w:customStyle="1">
    <w:name w:val="Heading 4 Char"/>
    <w:uiPriority w:val="0"/>
    <w:qFormat/>
    <w:rPr>
      <w:rFonts w:ascii="Cambria" w:hAnsi="Cambria" w:eastAsia="宋体" w:cs="Cambria"/>
      <w:b/>
      <w:bCs/>
      <w:sz w:val="28"/>
      <w:szCs w:val="28"/>
      <w:lang w:bidi="ar-SA"/>
    </w:rPr>
  </w:style>
  <w:style w:type="character" w:styleId="1147" w:customStyle="1">
    <w:name w:val="Header Char1"/>
    <w:uiPriority w:val="0"/>
    <w:qFormat/>
    <w:rPr>
      <w:rFonts w:cs="Times New Roman"/>
      <w:sz w:val="18"/>
      <w:szCs w:val="18"/>
      <w:lang w:bidi="ar-SA"/>
    </w:rPr>
  </w:style>
  <w:style w:type="character" w:styleId="1148" w:customStyle="1">
    <w:name w:val="Footer Char1"/>
    <w:uiPriority w:val="0"/>
    <w:qFormat/>
    <w:rPr>
      <w:rFonts w:cs="Times New Roman"/>
      <w:sz w:val="18"/>
      <w:szCs w:val="18"/>
      <w:lang w:bidi="ar-SA"/>
    </w:rPr>
  </w:style>
  <w:style w:type="character" w:styleId="1149" w:customStyle="1">
    <w:name w:val="wj1"/>
    <w:uiPriority w:val="0"/>
    <w:qFormat/>
    <w:rPr>
      <w:color w:val="000000"/>
      <w:sz w:val="18"/>
      <w:szCs w:val="18"/>
      <w:u w:val="none"/>
    </w:rPr>
  </w:style>
  <w:style w:type="character" w:styleId="1150" w:customStyle="1">
    <w:name w:val="ca-11"/>
    <w:uiPriority w:val="0"/>
    <w:qFormat/>
    <w:rPr>
      <w:rFonts w:ascii="宋体" w:eastAsia="宋体"/>
      <w:b/>
      <w:bCs/>
      <w:color w:val="000000"/>
      <w:spacing w:val="-20"/>
      <w:sz w:val="28"/>
      <w:szCs w:val="28"/>
    </w:rPr>
  </w:style>
  <w:style w:type="paragraph" w:styleId="1151"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52" w:customStyle="1">
    <w:name w:val="Plain Text Char1"/>
    <w:uiPriority w:val="0"/>
    <w:qFormat/>
    <w:rPr>
      <w:rFonts w:ascii="宋体" w:eastAsia="宋体"/>
      <w:sz w:val="21"/>
      <w:szCs w:val="21"/>
      <w:lang w:val="en-US" w:eastAsia="zh-CN" w:bidi="ar-SA"/>
    </w:rPr>
  </w:style>
  <w:style w:type="character" w:styleId="1153" w:customStyle="1">
    <w:name w:val="段落 Char"/>
    <w:uiPriority w:val="0"/>
    <w:qFormat/>
    <w:rPr>
      <w:rFonts w:ascii="仿宋_GB2312" w:eastAsia="仿宋_GB2312"/>
      <w:sz w:val="24"/>
      <w:szCs w:val="24"/>
      <w:lang w:val="en-US" w:eastAsia="zh-CN" w:bidi="ar-SA"/>
    </w:rPr>
  </w:style>
  <w:style w:type="character" w:styleId="1154" w:customStyle="1">
    <w:name w:val="Heading 2 Char"/>
    <w:uiPriority w:val="0"/>
    <w:qFormat/>
    <w:rPr>
      <w:rFonts w:ascii="Arial" w:hAnsi="Arial" w:eastAsia="黑体"/>
      <w:b/>
      <w:bCs/>
      <w:sz w:val="32"/>
      <w:szCs w:val="32"/>
      <w:lang w:val="en-US" w:eastAsia="zh-CN" w:bidi="ar-SA"/>
    </w:rPr>
  </w:style>
  <w:style w:type="paragraph" w:styleId="1155"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56" w:customStyle="1">
    <w:name w:val="Char Char31"/>
    <w:uiPriority w:val="0"/>
    <w:qFormat/>
    <w:rPr>
      <w:rFonts w:ascii="Arial" w:hAnsi="Arial" w:eastAsia="黑体" w:cs="Times New Roman"/>
      <w:b/>
      <w:bCs/>
      <w:sz w:val="32"/>
      <w:szCs w:val="32"/>
      <w:lang w:val="en-US" w:eastAsia="zh-CN" w:bidi="ar-SA"/>
    </w:rPr>
  </w:style>
  <w:style w:type="paragraph" w:styleId="1157" w:customStyle="1">
    <w:name w:val="正文（黑体）"/>
    <w:basedOn w:val="796"/>
    <w:next w:val="796"/>
    <w:uiPriority w:val="0"/>
    <w:qFormat/>
    <w:pPr>
      <w:ind w:firstLine="200"/>
      <w:spacing w:before="50" w:after="50" w:line="360" w:lineRule="auto"/>
    </w:pPr>
    <w:rPr>
      <w:rFonts w:ascii="黑体" w:eastAsia="黑体"/>
      <w:color w:val="000080"/>
      <w:sz w:val="24"/>
    </w:rPr>
  </w:style>
  <w:style w:type="character" w:styleId="1158" w:customStyle="1">
    <w:name w:val="ca-51"/>
    <w:uiPriority w:val="0"/>
    <w:qFormat/>
    <w:rPr>
      <w:rFonts w:ascii="楷体_GB2312" w:eastAsia="楷体_GB2312"/>
      <w:b/>
      <w:bCs/>
      <w:spacing w:val="-20"/>
      <w:sz w:val="24"/>
      <w:szCs w:val="24"/>
    </w:rPr>
  </w:style>
  <w:style w:type="paragraph" w:styleId="1159" w:customStyle="1">
    <w:name w:val="加点正文缩进"/>
    <w:basedOn w:val="796"/>
    <w:uiPriority w:val="0"/>
    <w:qFormat/>
    <w:pPr>
      <w:ind w:left="962" w:hanging="480"/>
      <w:spacing w:line="300" w:lineRule="auto"/>
      <w:tabs>
        <w:tab w:val="left" w:pos="840" w:leader="none"/>
      </w:tabs>
    </w:pPr>
    <w:rPr>
      <w:sz w:val="24"/>
    </w:rPr>
  </w:style>
  <w:style w:type="paragraph" w:styleId="1160" w:customStyle="1">
    <w:name w:val="默认段落字体 Para Char Char Char Char Char Char Char Char Char Char Char Char Char Char"/>
    <w:basedOn w:val="1066"/>
    <w:uiPriority w:val="0"/>
    <w:qFormat/>
    <w:rPr>
      <w:rFonts w:ascii="Tahoma" w:hAnsi="Tahoma"/>
      <w:sz w:val="24"/>
    </w:rPr>
  </w:style>
  <w:style w:type="paragraph" w:styleId="1161" w:customStyle="1">
    <w:name w:val="列表段落1"/>
    <w:basedOn w:val="796"/>
    <w:uiPriority w:val="0"/>
    <w:qFormat/>
    <w:pPr>
      <w:ind w:firstLine="200"/>
    </w:pPr>
  </w:style>
  <w:style w:type="paragraph" w:styleId="1162" w:customStyle="1">
    <w:name w:val="序号"/>
    <w:next w:val="796"/>
    <w:uiPriority w:val="0"/>
    <w:qFormat/>
    <w:pPr>
      <w:jc w:val="center"/>
    </w:pPr>
    <w:rPr>
      <w:rFonts w:ascii="Times New Roman" w:hAnsi="Times New Roman" w:eastAsia="仿宋_GB2312" w:cs="Times New Roman"/>
      <w:bCs/>
      <w:sz w:val="21"/>
      <w:szCs w:val="44"/>
      <w:lang w:val="en-US" w:eastAsia="zh-CN" w:bidi="ar-SA"/>
    </w:rPr>
  </w:style>
  <w:style w:type="paragraph" w:styleId="1163" w:customStyle="1">
    <w:name w:val="Char"/>
    <w:basedOn w:val="796"/>
    <w:uiPriority w:val="0"/>
    <w:qFormat/>
    <w:pPr>
      <w:tabs>
        <w:tab w:val="left" w:pos="360" w:leader="none"/>
      </w:tabs>
    </w:pPr>
    <w:rPr>
      <w:rFonts w:ascii="仿宋_GB2312" w:eastAsia="仿宋_GB2312"/>
      <w:b/>
      <w:sz w:val="24"/>
    </w:rPr>
  </w:style>
  <w:style w:type="paragraph" w:styleId="1164" w:customStyle="1">
    <w:name w:val="xl35"/>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5" w:customStyle="1">
    <w:name w:val="xl36"/>
    <w:basedOn w:val="7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6" w:customStyle="1">
    <w:name w:val="Char Char Char"/>
    <w:basedOn w:val="796"/>
    <w:uiPriority w:val="0"/>
    <w:qFormat/>
    <w:rPr>
      <w:rFonts w:ascii="Tahoma" w:hAnsi="Tahoma"/>
      <w:sz w:val="24"/>
      <w:szCs w:val="20"/>
    </w:rPr>
  </w:style>
  <w:style w:type="paragraph" w:styleId="1167" w:customStyle="1">
    <w:name w:val="Char12"/>
    <w:basedOn w:val="796"/>
    <w:uiPriority w:val="0"/>
    <w:qFormat/>
    <w:pPr>
      <w:ind w:left="360" w:right="202" w:firstLine="360"/>
      <w:spacing w:line="480" w:lineRule="auto"/>
      <w:tabs>
        <w:tab w:val="left" w:pos="360" w:leader="none"/>
      </w:tabs>
    </w:pPr>
    <w:rPr>
      <w:sz w:val="24"/>
    </w:rPr>
  </w:style>
  <w:style w:type="paragraph" w:styleId="1168" w:customStyle="1">
    <w:name w:val="Char Char Char Char Char Char Char Char Char Char"/>
    <w:basedOn w:val="796"/>
    <w:uiPriority w:val="0"/>
    <w:qFormat/>
    <w:rPr>
      <w:rFonts w:ascii="Tahoma" w:hAnsi="Tahoma"/>
      <w:sz w:val="24"/>
      <w:szCs w:val="20"/>
    </w:rPr>
  </w:style>
  <w:style w:type="paragraph" w:styleId="1169" w:customStyle="1">
    <w:name w:val="正文段"/>
    <w:basedOn w:val="796"/>
    <w:uiPriority w:val="0"/>
    <w:qFormat/>
    <w:pPr>
      <w:ind w:firstLine="425"/>
      <w:spacing w:after="240" w:line="240" w:lineRule="atLeast"/>
      <w:widowControl/>
    </w:pPr>
    <w:rPr>
      <w:sz w:val="24"/>
      <w:szCs w:val="20"/>
    </w:rPr>
  </w:style>
  <w:style w:type="paragraph" w:styleId="1170" w:customStyle="1">
    <w:name w:val="段"/>
    <w:uiPriority w:val="0"/>
    <w:qFormat/>
    <w:pPr>
      <w:ind w:firstLine="200"/>
      <w:jc w:val="both"/>
    </w:pPr>
    <w:rPr>
      <w:rFonts w:ascii="宋体" w:hAnsi="Times New Roman" w:eastAsia="宋体" w:cs="Times New Roman"/>
      <w:sz w:val="21"/>
      <w:lang w:val="en-US" w:eastAsia="zh-CN" w:bidi="ar-SA"/>
    </w:rPr>
  </w:style>
  <w:style w:type="paragraph" w:styleId="1171" w:customStyle="1">
    <w:name w:val="Char Char Char Char Char Char Char Char Char Char1"/>
    <w:basedOn w:val="796"/>
    <w:uiPriority w:val="0"/>
    <w:qFormat/>
    <w:rPr>
      <w:rFonts w:ascii="Tahoma" w:hAnsi="Tahoma" w:cs="Tahoma"/>
      <w:sz w:val="24"/>
    </w:rPr>
  </w:style>
  <w:style w:type="paragraph" w:styleId="1172" w:customStyle="1">
    <w:name w:val="xl34"/>
    <w:basedOn w:val="796"/>
    <w:uiPriority w:val="0"/>
    <w:qFormat/>
    <w:pPr>
      <w:jc w:val="center"/>
      <w:spacing w:before="100" w:beforeAutospacing="1" w:after="100" w:afterAutospacing="1"/>
      <w:widowControl/>
    </w:pPr>
    <w:rPr>
      <w:rFonts w:ascii="Arial Unicode MS" w:hAnsi="Arial Unicode MS" w:eastAsia="Arial Unicode MS"/>
      <w:sz w:val="24"/>
    </w:rPr>
  </w:style>
  <w:style w:type="paragraph" w:styleId="1173" w:customStyle="1">
    <w:name w:val="前言、引言标题"/>
    <w:next w:val="796"/>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74" w:customStyle="1">
    <w:name w:val="Char Char Char Char Char Char Char Char Char Char Char Char Char"/>
    <w:basedOn w:val="796"/>
    <w:uiPriority w:val="0"/>
    <w:qFormat/>
    <w:pPr>
      <w:jc w:val="left"/>
      <w:spacing w:after="160" w:line="240" w:lineRule="exact"/>
      <w:widowControl/>
    </w:pPr>
    <w:rPr>
      <w:rFonts w:ascii="Verdana" w:hAnsi="Verdana"/>
      <w:sz w:val="20"/>
      <w:szCs w:val="20"/>
      <w:lang w:eastAsia="en-US"/>
    </w:rPr>
  </w:style>
  <w:style w:type="paragraph" w:styleId="1175" w:customStyle="1">
    <w:name w:val="pa-0"/>
    <w:basedOn w:val="796"/>
    <w:uiPriority w:val="0"/>
    <w:qFormat/>
    <w:pPr>
      <w:ind w:firstLine="480"/>
      <w:spacing w:line="360" w:lineRule="atLeast"/>
      <w:widowControl/>
    </w:pPr>
    <w:rPr>
      <w:rFonts w:ascii="宋体" w:cs="宋体"/>
      <w:sz w:val="24"/>
    </w:rPr>
  </w:style>
  <w:style w:type="paragraph" w:styleId="1176" w:customStyle="1">
    <w:name w:val="Char111"/>
    <w:basedOn w:val="796"/>
    <w:uiPriority w:val="0"/>
    <w:qFormat/>
    <w:pPr>
      <w:jc w:val="left"/>
      <w:spacing w:after="160" w:line="240" w:lineRule="exact"/>
      <w:widowControl/>
    </w:pPr>
    <w:rPr>
      <w:rFonts w:ascii="Verdana" w:hAnsi="Verdana"/>
      <w:sz w:val="20"/>
      <w:szCs w:val="20"/>
      <w:lang w:eastAsia="en-US"/>
    </w:rPr>
  </w:style>
  <w:style w:type="paragraph" w:styleId="1177" w:customStyle="1">
    <w:name w:val="三级条标题"/>
    <w:basedOn w:val="1178"/>
    <w:next w:val="1170"/>
    <w:uiPriority w:val="0"/>
    <w:qFormat/>
    <w:pPr>
      <w:ind w:left="1050"/>
      <w:outlineLvl w:val="4"/>
    </w:pPr>
  </w:style>
  <w:style w:type="paragraph" w:styleId="1178" w:customStyle="1">
    <w:name w:val="二级条标题"/>
    <w:basedOn w:val="1179"/>
    <w:next w:val="1170"/>
    <w:uiPriority w:val="0"/>
    <w:qFormat/>
    <w:pPr>
      <w:ind w:left="360"/>
      <w:outlineLvl w:val="3"/>
    </w:pPr>
  </w:style>
  <w:style w:type="paragraph" w:styleId="1179" w:customStyle="1">
    <w:name w:val="一级条标题"/>
    <w:next w:val="1170"/>
    <w:uiPriority w:val="0"/>
    <w:qFormat/>
    <w:pPr>
      <w:outlineLvl w:val="2"/>
    </w:pPr>
    <w:rPr>
      <w:rFonts w:ascii="Times New Roman" w:hAnsi="Times New Roman" w:eastAsia="黑体" w:cs="Times New Roman"/>
      <w:sz w:val="21"/>
      <w:lang w:val="en-US" w:eastAsia="zh-CN" w:bidi="ar-SA"/>
    </w:rPr>
  </w:style>
  <w:style w:type="paragraph" w:styleId="1180" w:customStyle="1">
    <w:name w:val="FA正文+标号"/>
    <w:basedOn w:val="79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81" w:customStyle="1">
    <w:name w:val="表文1"/>
    <w:basedOn w:val="796"/>
    <w:uiPriority w:val="0"/>
    <w:qFormat/>
    <w:pPr>
      <w:ind w:firstLine="196"/>
      <w:spacing w:line="360" w:lineRule="auto"/>
      <w:widowControl/>
    </w:pPr>
    <w:rPr>
      <w:rFonts w:ascii="宋体"/>
      <w:sz w:val="24"/>
    </w:rPr>
  </w:style>
  <w:style w:type="paragraph" w:styleId="1182" w:customStyle="1">
    <w:name w:val="表内容"/>
    <w:basedOn w:val="1183"/>
    <w:uiPriority w:val="0"/>
    <w:qFormat/>
    <w:pPr>
      <w:ind w:left="0" w:firstLine="0"/>
      <w:spacing w:line="320" w:lineRule="exact"/>
    </w:pPr>
    <w:rPr>
      <w:sz w:val="20"/>
    </w:rPr>
  </w:style>
  <w:style w:type="paragraph" w:styleId="1183" w:customStyle="1">
    <w:name w:val="正文11"/>
    <w:basedOn w:val="796"/>
    <w:uiPriority w:val="0"/>
    <w:qFormat/>
    <w:pPr>
      <w:ind w:left="357" w:firstLine="420"/>
      <w:jc w:val="left"/>
      <w:spacing w:line="360" w:lineRule="auto"/>
      <w:widowControl/>
    </w:pPr>
    <w:rPr>
      <w:rFonts w:cs="Arial"/>
      <w:szCs w:val="20"/>
    </w:rPr>
  </w:style>
  <w:style w:type="paragraph" w:styleId="1184" w:customStyle="1">
    <w:name w:val="Char Char1 Char Char Char Char Char Char"/>
    <w:basedOn w:val="796"/>
    <w:uiPriority w:val="0"/>
    <w:qFormat/>
    <w:pPr>
      <w:jc w:val="center"/>
      <w:widowControl/>
    </w:pPr>
    <w:rPr>
      <w:szCs w:val="20"/>
    </w:rPr>
  </w:style>
  <w:style w:type="paragraph" w:styleId="1185" w:customStyle="1">
    <w:name w:val="xl27"/>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普通正文"/>
    <w:basedOn w:val="796"/>
    <w:uiPriority w:val="0"/>
    <w:qFormat/>
    <w:pPr>
      <w:ind w:firstLine="425"/>
      <w:jc w:val="left"/>
    </w:pPr>
    <w:rPr>
      <w:rFonts w:ascii="宋体"/>
      <w:sz w:val="20"/>
      <w:szCs w:val="20"/>
    </w:rPr>
  </w:style>
  <w:style w:type="paragraph" w:styleId="118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88" w:customStyle="1">
    <w:name w:val="附图标题"/>
    <w:basedOn w:val="1062"/>
    <w:next w:val="1061"/>
    <w:uiPriority w:val="0"/>
    <w:qFormat/>
    <w:pPr>
      <w:ind w:left="780" w:hanging="480"/>
      <w:jc w:val="center"/>
      <w:spacing w:after="100"/>
      <w:tabs>
        <w:tab w:val="left" w:pos="780" w:leader="none"/>
      </w:tabs>
    </w:pPr>
    <w:rPr>
      <w:b/>
      <w:sz w:val="21"/>
    </w:rPr>
  </w:style>
  <w:style w:type="paragraph" w:styleId="1189" w:customStyle="1">
    <w:name w:val="图号"/>
    <w:basedOn w:val="79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90" w:customStyle="1">
    <w:name w:val="xl40"/>
    <w:basedOn w:val="79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91" w:customStyle="1">
    <w:name w:val="缩进正文"/>
    <w:basedOn w:val="796"/>
    <w:uiPriority w:val="0"/>
    <w:qFormat/>
    <w:pPr>
      <w:ind w:left="1418" w:firstLine="425"/>
      <w:jc w:val="left"/>
      <w:spacing w:after="200" w:line="400" w:lineRule="exact"/>
      <w:widowControl/>
    </w:pPr>
    <w:rPr>
      <w:rFonts w:ascii="宋体"/>
      <w:sz w:val="24"/>
      <w:szCs w:val="20"/>
    </w:rPr>
  </w:style>
  <w:style w:type="paragraph" w:styleId="1192" w:customStyle="1">
    <w:name w:val="xl28"/>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3"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4" w:customStyle="1">
    <w:name w:val="Char1"/>
    <w:basedOn w:val="796"/>
    <w:uiPriority w:val="0"/>
    <w:qFormat/>
    <w:pPr>
      <w:ind w:left="360" w:right="202" w:firstLine="360"/>
      <w:spacing w:line="480" w:lineRule="auto"/>
      <w:tabs>
        <w:tab w:val="left" w:pos="360" w:leader="none"/>
      </w:tabs>
    </w:pPr>
    <w:rPr>
      <w:sz w:val="24"/>
    </w:rPr>
  </w:style>
  <w:style w:type="paragraph" w:styleId="1195" w:customStyle="1">
    <w:name w:val="首页标题"/>
    <w:uiPriority w:val="0"/>
    <w:qFormat/>
    <w:pPr>
      <w:jc w:val="center"/>
    </w:pPr>
    <w:rPr>
      <w:rFonts w:ascii="宋体" w:hAnsi="Times New Roman" w:eastAsia="宋体" w:cs="宋体"/>
      <w:sz w:val="72"/>
      <w:szCs w:val="72"/>
      <w:lang w:val="en-US" w:eastAsia="zh-CN" w:bidi="ar-SA"/>
    </w:rPr>
  </w:style>
  <w:style w:type="paragraph" w:styleId="1196" w:customStyle="1">
    <w:name w:val="pa-10"/>
    <w:basedOn w:val="796"/>
    <w:uiPriority w:val="0"/>
    <w:qFormat/>
    <w:pPr>
      <w:spacing w:line="240" w:lineRule="atLeast"/>
      <w:widowControl/>
    </w:pPr>
    <w:rPr>
      <w:rFonts w:ascii="宋体" w:cs="宋体"/>
      <w:sz w:val="24"/>
    </w:rPr>
  </w:style>
  <w:style w:type="paragraph" w:styleId="1197" w:customStyle="1">
    <w:name w:val="特点"/>
    <w:basedOn w:val="796"/>
    <w:next w:val="796"/>
    <w:uiPriority w:val="0"/>
    <w:qFormat/>
    <w:pPr>
      <w:jc w:val="center"/>
      <w:spacing w:line="360" w:lineRule="auto"/>
    </w:pPr>
    <w:rPr>
      <w:rFonts w:ascii="Arial" w:hAnsi="Arial"/>
      <w:sz w:val="24"/>
      <w:szCs w:val="20"/>
    </w:rPr>
  </w:style>
  <w:style w:type="paragraph" w:styleId="1198" w:customStyle="1">
    <w:name w:val="pa-4"/>
    <w:basedOn w:val="796"/>
    <w:uiPriority w:val="0"/>
    <w:qFormat/>
    <w:pPr>
      <w:jc w:val="center"/>
      <w:spacing w:line="280" w:lineRule="atLeast"/>
      <w:widowControl/>
    </w:pPr>
    <w:rPr>
      <w:rFonts w:ascii="宋体" w:cs="宋体"/>
      <w:sz w:val="24"/>
    </w:rPr>
  </w:style>
  <w:style w:type="paragraph" w:styleId="1199" w:customStyle="1">
    <w:name w:val="编号"/>
    <w:basedOn w:val="796"/>
    <w:next w:val="1145"/>
    <w:uiPriority w:val="0"/>
    <w:qFormat/>
    <w:pPr>
      <w:ind w:left="420" w:right="-136" w:hanging="420"/>
      <w:widowControl/>
      <w:tabs>
        <w:tab w:val="left" w:pos="420" w:leader="none"/>
      </w:tabs>
    </w:pPr>
    <w:rPr>
      <w:rFonts w:ascii="仿宋_GB2312" w:eastAsia="仿宋_GB2312"/>
      <w:b/>
      <w:bCs/>
      <w:sz w:val="24"/>
      <w:szCs w:val="21"/>
    </w:rPr>
  </w:style>
  <w:style w:type="paragraph" w:styleId="1200"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201" w:customStyle="1">
    <w:name w:val="xl33"/>
    <w:basedOn w:val="79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2" w:customStyle="1">
    <w:name w:val="编号1"/>
    <w:next w:val="1145"/>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203" w:customStyle="1">
    <w:name w:val="xl32"/>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4" w:customStyle="1">
    <w:name w:val="CM17"/>
    <w:basedOn w:val="796"/>
    <w:next w:val="796"/>
    <w:uiPriority w:val="0"/>
    <w:qFormat/>
    <w:pPr>
      <w:jc w:val="left"/>
      <w:spacing w:after="273" w:line="360" w:lineRule="auto"/>
    </w:pPr>
    <w:rPr>
      <w:rFonts w:ascii="宋体"/>
      <w:sz w:val="24"/>
    </w:rPr>
  </w:style>
  <w:style w:type="paragraph" w:styleId="1205" w:customStyle="1">
    <w:name w:val="xl38"/>
    <w:basedOn w:val="7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6" w:customStyle="1">
    <w:name w:val="参考资料清单+倾斜+蓝色"/>
    <w:basedOn w:val="796"/>
    <w:uiPriority w:val="0"/>
    <w:qFormat/>
    <w:pPr>
      <w:spacing w:line="360" w:lineRule="auto"/>
    </w:pPr>
    <w:rPr>
      <w:rFonts w:ascii="Arial" w:hAnsi="Arial"/>
      <w:i/>
      <w:iCs/>
      <w:color w:val="0000ff"/>
      <w:szCs w:val="21"/>
    </w:rPr>
  </w:style>
  <w:style w:type="paragraph" w:styleId="1207"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08" w:customStyle="1">
    <w:name w:val="pa-8"/>
    <w:basedOn w:val="796"/>
    <w:uiPriority w:val="0"/>
    <w:qFormat/>
    <w:pPr>
      <w:ind w:firstLine="480"/>
      <w:spacing w:line="280" w:lineRule="atLeast"/>
      <w:widowControl/>
    </w:pPr>
    <w:rPr>
      <w:rFonts w:ascii="宋体" w:cs="宋体"/>
      <w:sz w:val="24"/>
    </w:rPr>
  </w:style>
  <w:style w:type="paragraph" w:styleId="1209" w:customStyle="1">
    <w:name w:val="标书2"/>
    <w:next w:val="1145"/>
    <w:uiPriority w:val="0"/>
    <w:qFormat/>
    <w:rPr>
      <w:rFonts w:ascii="Times New Roman" w:hAnsi="Times New Roman" w:eastAsia="黑体" w:cs="宋体"/>
      <w:b/>
      <w:sz w:val="44"/>
      <w:lang w:val="en-US" w:eastAsia="zh-CN" w:bidi="ar-SA"/>
    </w:rPr>
  </w:style>
  <w:style w:type="paragraph" w:styleId="1210" w:customStyle="1">
    <w:name w:val="表格文字"/>
    <w:basedOn w:val="796"/>
    <w:uiPriority w:val="0"/>
    <w:qFormat/>
    <w:pPr>
      <w:jc w:val="left"/>
    </w:pPr>
    <w:rPr>
      <w:sz w:val="18"/>
    </w:rPr>
  </w:style>
  <w:style w:type="paragraph" w:styleId="1211" w:customStyle="1">
    <w:name w:val="首页空格"/>
    <w:uiPriority w:val="0"/>
    <w:qFormat/>
    <w:pPr>
      <w:jc w:val="center"/>
    </w:pPr>
    <w:rPr>
      <w:rFonts w:ascii="Times New Roman" w:hAnsi="Times New Roman" w:eastAsia="宋体" w:cs="宋体"/>
      <w:sz w:val="72"/>
      <w:lang w:val="en-US" w:eastAsia="zh-CN" w:bidi="ar-SA"/>
    </w:rPr>
  </w:style>
  <w:style w:type="paragraph" w:styleId="1212" w:customStyle="1">
    <w:name w:val="保密事宜格式"/>
    <w:basedOn w:val="1062"/>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13"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214" w:customStyle="1">
    <w:name w:val="È±Ê¡ÎÄ±¾"/>
    <w:basedOn w:val="796"/>
    <w:uiPriority w:val="0"/>
    <w:qFormat/>
    <w:pPr>
      <w:jc w:val="left"/>
      <w:spacing w:line="360" w:lineRule="auto"/>
      <w:widowControl/>
    </w:pPr>
    <w:rPr>
      <w:sz w:val="24"/>
      <w:szCs w:val="20"/>
    </w:rPr>
  </w:style>
  <w:style w:type="paragraph" w:styleId="1215" w:customStyle="1">
    <w:name w:val="Char Char Char Char Char Char Char"/>
    <w:basedOn w:val="796"/>
    <w:uiPriority w:val="0"/>
    <w:qFormat/>
    <w:pPr>
      <w:jc w:val="left"/>
      <w:spacing w:after="160" w:line="240" w:lineRule="exact"/>
      <w:widowControl/>
    </w:pPr>
    <w:rPr>
      <w:rFonts w:ascii="Verdana" w:hAnsi="Verdana"/>
      <w:sz w:val="20"/>
      <w:szCs w:val="20"/>
      <w:lang w:eastAsia="en-US"/>
    </w:rPr>
  </w:style>
  <w:style w:type="paragraph" w:styleId="1216" w:customStyle="1">
    <w:name w:val="xl2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附图居中"/>
    <w:basedOn w:val="796"/>
    <w:next w:val="1188"/>
    <w:uiPriority w:val="0"/>
    <w:qFormat/>
    <w:pPr>
      <w:ind w:left="1271" w:hanging="420"/>
      <w:jc w:val="center"/>
      <w:keepNext/>
      <w:spacing w:line="360" w:lineRule="auto"/>
      <w:tabs>
        <w:tab w:val="left" w:pos="0" w:leader="none"/>
      </w:tabs>
    </w:pPr>
    <w:rPr>
      <w:caps/>
      <w:sz w:val="24"/>
    </w:rPr>
  </w:style>
  <w:style w:type="paragraph" w:styleId="1218" w:customStyle="1">
    <w:name w:val="pa-6"/>
    <w:basedOn w:val="796"/>
    <w:uiPriority w:val="0"/>
    <w:qFormat/>
    <w:pPr>
      <w:spacing w:line="360" w:lineRule="atLeast"/>
      <w:widowControl/>
    </w:pPr>
    <w:rPr>
      <w:rFonts w:ascii="宋体"/>
      <w:sz w:val="24"/>
      <w:szCs w:val="20"/>
    </w:rPr>
  </w:style>
  <w:style w:type="paragraph" w:styleId="1219" w:customStyle="1">
    <w:name w:val="规范正文"/>
    <w:basedOn w:val="796"/>
    <w:uiPriority w:val="0"/>
    <w:qFormat/>
    <w:pPr>
      <w:ind w:left="480"/>
      <w:spacing w:line="360" w:lineRule="auto"/>
    </w:pPr>
    <w:rPr>
      <w:sz w:val="24"/>
      <w:szCs w:val="20"/>
    </w:rPr>
  </w:style>
  <w:style w:type="paragraph" w:styleId="1220" w:customStyle="1">
    <w:name w:val="font7"/>
    <w:basedOn w:val="796"/>
    <w:uiPriority w:val="0"/>
    <w:qFormat/>
    <w:pPr>
      <w:jc w:val="left"/>
      <w:spacing w:before="100" w:beforeAutospacing="1" w:after="100" w:afterAutospacing="1"/>
      <w:widowControl/>
    </w:pPr>
    <w:rPr>
      <w:rFonts w:ascii="宋体"/>
      <w:sz w:val="20"/>
      <w:szCs w:val="20"/>
    </w:rPr>
  </w:style>
  <w:style w:type="paragraph" w:styleId="1221" w:customStyle="1">
    <w:name w:val="缺省文本"/>
    <w:basedOn w:val="796"/>
    <w:uiPriority w:val="0"/>
    <w:qFormat/>
    <w:pPr>
      <w:jc w:val="left"/>
    </w:pPr>
    <w:rPr>
      <w:sz w:val="24"/>
      <w:szCs w:val="20"/>
    </w:rPr>
  </w:style>
  <w:style w:type="paragraph" w:styleId="1222" w:customStyle="1">
    <w:name w:val="序号-----------"/>
    <w:basedOn w:val="796"/>
    <w:uiPriority w:val="0"/>
    <w:qFormat/>
    <w:pPr>
      <w:jc w:val="left"/>
      <w:widowControl/>
    </w:pPr>
    <w:rPr>
      <w:rFonts w:ascii="宋体"/>
      <w:bCs/>
      <w:szCs w:val="21"/>
    </w:rPr>
  </w:style>
  <w:style w:type="paragraph" w:styleId="1223" w:customStyle="1">
    <w:name w:val="font8"/>
    <w:basedOn w:val="796"/>
    <w:uiPriority w:val="0"/>
    <w:qFormat/>
    <w:pPr>
      <w:jc w:val="left"/>
      <w:spacing w:before="100" w:beforeAutospacing="1" w:after="100" w:afterAutospacing="1"/>
      <w:widowControl/>
    </w:pPr>
    <w:rPr>
      <w:rFonts w:ascii="Arial" w:hAnsi="Arial" w:cs="Arial"/>
      <w:color w:val="000000"/>
      <w:sz w:val="18"/>
      <w:szCs w:val="18"/>
    </w:rPr>
  </w:style>
  <w:style w:type="paragraph" w:styleId="1224" w:customStyle="1">
    <w:name w:val="表格标题"/>
    <w:basedOn w:val="796"/>
    <w:uiPriority w:val="0"/>
    <w:qFormat/>
    <w:pPr>
      <w:jc w:val="center"/>
    </w:pPr>
    <w:rPr>
      <w:b/>
    </w:rPr>
  </w:style>
  <w:style w:type="paragraph" w:styleId="1225" w:customStyle="1">
    <w:name w:val="章标题"/>
    <w:next w:val="117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26" w:customStyle="1">
    <w:name w:val="首页单位日期"/>
    <w:basedOn w:val="796"/>
    <w:uiPriority w:val="0"/>
    <w:qFormat/>
    <w:pPr>
      <w:jc w:val="center"/>
      <w:widowControl/>
    </w:pPr>
    <w:rPr>
      <w:rFonts w:ascii="宋体" w:cs="宋体"/>
      <w:bCs/>
      <w:sz w:val="28"/>
      <w:szCs w:val="20"/>
    </w:rPr>
  </w:style>
  <w:style w:type="paragraph" w:styleId="1227" w:customStyle="1">
    <w:name w:val="样式 正文缩进 + (中文) 仿宋_GB2312 小四 Char"/>
    <w:basedOn w:val="1061"/>
    <w:uiPriority w:val="0"/>
    <w:qFormat/>
    <w:pPr>
      <w:ind w:firstLine="200"/>
      <w:spacing w:line="360" w:lineRule="auto"/>
    </w:pPr>
    <w:rPr>
      <w:szCs w:val="24"/>
    </w:rPr>
  </w:style>
  <w:style w:type="paragraph" w:styleId="1228" w:customStyle="1">
    <w:name w:val="项目"/>
    <w:basedOn w:val="796"/>
    <w:uiPriority w:val="0"/>
    <w:qFormat/>
    <w:pPr>
      <w:ind w:left="840" w:hanging="420"/>
      <w:spacing w:before="60" w:after="60" w:line="360" w:lineRule="auto"/>
      <w:tabs>
        <w:tab w:val="left" w:pos="840" w:leader="none"/>
      </w:tabs>
    </w:pPr>
    <w:rPr>
      <w:rFonts w:ascii="宋体"/>
      <w:szCs w:val="20"/>
    </w:rPr>
  </w:style>
  <w:style w:type="paragraph" w:styleId="1229" w:customStyle="1">
    <w:name w:val="默认段落字体 Para Char"/>
    <w:basedOn w:val="796"/>
    <w:uiPriority w:val="0"/>
    <w:qFormat/>
    <w:rPr>
      <w:rFonts w:ascii="宋体"/>
      <w:b/>
      <w:sz w:val="28"/>
      <w:szCs w:val="28"/>
    </w:rPr>
  </w:style>
  <w:style w:type="paragraph" w:styleId="1230" w:customStyle="1">
    <w:name w:val="篇名"/>
    <w:next w:val="876"/>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231" w:customStyle="1">
    <w:name w:val="Char13"/>
    <w:basedOn w:val="796"/>
    <w:uiPriority w:val="0"/>
    <w:qFormat/>
  </w:style>
  <w:style w:type="paragraph" w:styleId="1232" w:customStyle="1">
    <w:name w:val="表头"/>
    <w:basedOn w:val="1183"/>
    <w:uiPriority w:val="0"/>
    <w:qFormat/>
    <w:pPr>
      <w:ind w:left="0" w:firstLine="0"/>
      <w:spacing w:line="240" w:lineRule="auto"/>
    </w:pPr>
    <w:rPr>
      <w:sz w:val="20"/>
    </w:rPr>
  </w:style>
  <w:style w:type="paragraph" w:styleId="1233" w:customStyle="1">
    <w:name w:val="表格序号"/>
    <w:uiPriority w:val="0"/>
    <w:qFormat/>
    <w:rPr>
      <w:rFonts w:ascii="Times New Roman" w:hAnsi="Times New Roman" w:eastAsia="仿宋_GB2312" w:cs="宋体"/>
      <w:sz w:val="21"/>
      <w:lang w:val="en-US" w:eastAsia="zh-CN" w:bidi="ar-SA"/>
    </w:rPr>
  </w:style>
  <w:style w:type="paragraph" w:styleId="1234" w:customStyle="1">
    <w:name w:val="Char Char Char Char1"/>
    <w:basedOn w:val="796"/>
    <w:uiPriority w:val="0"/>
    <w:qFormat/>
    <w:pPr>
      <w:ind w:firstLine="200"/>
      <w:spacing w:line="360" w:lineRule="auto"/>
    </w:pPr>
    <w:rPr>
      <w:sz w:val="24"/>
      <w:szCs w:val="20"/>
    </w:rPr>
  </w:style>
  <w:style w:type="paragraph" w:styleId="1235" w:customStyle="1">
    <w:name w:val="标书3"/>
    <w:next w:val="1145"/>
    <w:uiPriority w:val="0"/>
    <w:qFormat/>
    <w:pPr>
      <w:jc w:val="center"/>
      <w:widowControl w:val="off"/>
    </w:pPr>
    <w:rPr>
      <w:rFonts w:ascii="Times New Roman" w:hAnsi="Times New Roman" w:eastAsia="黑体" w:cs="Times New Roman"/>
      <w:b/>
      <w:sz w:val="44"/>
      <w:szCs w:val="24"/>
      <w:lang w:val="en-US" w:eastAsia="zh-CN" w:bidi="ar-SA"/>
    </w:rPr>
  </w:style>
  <w:style w:type="paragraph" w:styleId="1236" w:customStyle="1">
    <w:name w:val="首页小标题"/>
    <w:next w:val="1211"/>
    <w:uiPriority w:val="0"/>
    <w:qFormat/>
    <w:pPr>
      <w:jc w:val="center"/>
    </w:pPr>
    <w:rPr>
      <w:rFonts w:ascii="Times New Roman" w:hAnsi="Times New Roman" w:eastAsia="宋体" w:cs="宋体"/>
      <w:sz w:val="44"/>
      <w:lang w:val="en-US" w:eastAsia="zh-CN" w:bidi="ar-SA"/>
    </w:rPr>
  </w:style>
  <w:style w:type="paragraph" w:styleId="1237" w:customStyle="1">
    <w:name w:val="新段落缩进"/>
    <w:basedOn w:val="796"/>
    <w:uiPriority w:val="0"/>
    <w:qFormat/>
    <w:pPr>
      <w:ind w:firstLine="200"/>
      <w:spacing w:line="400" w:lineRule="exact"/>
    </w:pPr>
    <w:rPr>
      <w:rFonts w:ascii="仿宋_GB2312" w:eastAsia="仿宋_GB2312"/>
      <w:sz w:val="24"/>
    </w:rPr>
  </w:style>
  <w:style w:type="paragraph" w:styleId="1238" w:customStyle="1">
    <w:name w:val="pa-2"/>
    <w:basedOn w:val="796"/>
    <w:uiPriority w:val="0"/>
    <w:qFormat/>
    <w:pPr>
      <w:spacing w:line="360" w:lineRule="atLeast"/>
      <w:widowControl/>
    </w:pPr>
    <w:rPr>
      <w:rFonts w:ascii="宋体" w:cs="宋体"/>
      <w:sz w:val="24"/>
    </w:rPr>
  </w:style>
  <w:style w:type="paragraph" w:styleId="1239" w:customStyle="1">
    <w:name w:val="四级条标题"/>
    <w:basedOn w:val="1177"/>
    <w:next w:val="1170"/>
    <w:uiPriority w:val="0"/>
    <w:qFormat/>
    <w:pPr>
      <w:ind w:left="0"/>
      <w:outlineLvl w:val="5"/>
    </w:pPr>
  </w:style>
  <w:style w:type="paragraph" w:styleId="1240" w:customStyle="1">
    <w:name w:val="保密事宜内容"/>
    <w:basedOn w:val="79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41" w:customStyle="1">
    <w:name w:val="xl30"/>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2" w:customStyle="1">
    <w:name w:val="Char1 Char Char Char"/>
    <w:basedOn w:val="796"/>
    <w:uiPriority w:val="0"/>
    <w:qFormat/>
    <w:rPr>
      <w:szCs w:val="20"/>
    </w:rPr>
  </w:style>
  <w:style w:type="paragraph" w:styleId="1243" w:customStyle="1">
    <w:name w:val="正文 + 宋体"/>
    <w:basedOn w:val="796"/>
    <w:uiPriority w:val="0"/>
    <w:qFormat/>
    <w:pPr>
      <w:ind w:firstLine="250"/>
    </w:pPr>
    <w:rPr>
      <w:rFonts w:ascii="宋体"/>
      <w:szCs w:val="21"/>
    </w:rPr>
  </w:style>
  <w:style w:type="paragraph" w:styleId="1244" w:customStyle="1">
    <w:name w:val="xl31"/>
    <w:basedOn w:val="79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45" w:customStyle="1">
    <w:name w:val="pbody"/>
    <w:basedOn w:val="796"/>
    <w:uiPriority w:val="0"/>
    <w:qFormat/>
    <w:pPr>
      <w:jc w:val="left"/>
      <w:spacing w:before="100" w:beforeAutospacing="1" w:after="100" w:afterAutospacing="1" w:line="360" w:lineRule="auto"/>
      <w:widowControl/>
    </w:pPr>
    <w:rPr>
      <w:rFonts w:ascii="宋体" w:cs="宋体"/>
      <w:sz w:val="24"/>
    </w:rPr>
  </w:style>
  <w:style w:type="paragraph" w:styleId="1246" w:customStyle="1">
    <w:name w:val="xl42"/>
    <w:basedOn w:val="79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7" w:customStyle="1">
    <w:name w:val="txt"/>
    <w:basedOn w:val="796"/>
    <w:uiPriority w:val="0"/>
    <w:qFormat/>
    <w:pPr>
      <w:jc w:val="left"/>
      <w:spacing w:before="100" w:beforeAutospacing="1" w:after="100" w:afterAutospacing="1"/>
      <w:widowControl/>
    </w:pPr>
    <w:rPr>
      <w:rFonts w:ascii="宋体" w:cs="宋体"/>
      <w:sz w:val="24"/>
    </w:rPr>
  </w:style>
  <w:style w:type="paragraph" w:styleId="1248" w:customStyle="1">
    <w:name w:val="样式1"/>
    <w:basedOn w:val="1060"/>
    <w:next w:val="796"/>
    <w:uiPriority w:val="0"/>
    <w:qFormat/>
    <w:rPr>
      <w:rFonts w:ascii="Arial" w:hAnsi="Arial" w:eastAsia="幼圆" w:cs="Arial"/>
      <w:sz w:val="24"/>
      <w:szCs w:val="20"/>
    </w:rPr>
  </w:style>
  <w:style w:type="paragraph" w:styleId="1249" w:customStyle="1">
    <w:name w:val="xl37"/>
    <w:basedOn w:val="7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50" w:customStyle="1">
    <w:name w:val="列表段落11"/>
    <w:basedOn w:val="796"/>
    <w:uiPriority w:val="0"/>
    <w:qFormat/>
    <w:pPr>
      <w:ind w:firstLine="420"/>
    </w:pPr>
  </w:style>
  <w:style w:type="paragraph" w:styleId="125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52" w:customStyle="1">
    <w:name w:val="样式 序号----------- + 仿宋_GB2312"/>
    <w:basedOn w:val="1222"/>
    <w:uiPriority w:val="0"/>
    <w:qFormat/>
    <w:pPr>
      <w:ind w:firstLine="200"/>
      <w:spacing w:line="360" w:lineRule="auto"/>
    </w:pPr>
    <w:rPr>
      <w:rFonts w:ascii="仿宋_GB2312" w:eastAsia="仿宋_GB2312"/>
      <w:bCs w:val="0"/>
    </w:rPr>
  </w:style>
  <w:style w:type="paragraph" w:styleId="1253" w:customStyle="1">
    <w:name w:val="xl41"/>
    <w:basedOn w:val="79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54" w:customStyle="1">
    <w:name w:val="Char11"/>
    <w:basedOn w:val="796"/>
    <w:uiPriority w:val="0"/>
    <w:qFormat/>
    <w:rPr>
      <w:szCs w:val="21"/>
    </w:rPr>
  </w:style>
  <w:style w:type="paragraph" w:styleId="1255" w:customStyle="1">
    <w:name w:val="样式 序号----------- + 仿宋_GB23121"/>
    <w:basedOn w:val="1222"/>
    <w:uiPriority w:val="0"/>
    <w:qFormat/>
    <w:pPr>
      <w:spacing w:line="360" w:lineRule="auto"/>
    </w:pPr>
    <w:rPr>
      <w:rFonts w:ascii="仿宋_GB2312" w:eastAsia="仿宋_GB2312"/>
      <w:bCs w:val="0"/>
    </w:rPr>
  </w:style>
  <w:style w:type="paragraph" w:styleId="1256" w:customStyle="1">
    <w:name w:val="pa-9"/>
    <w:basedOn w:val="796"/>
    <w:uiPriority w:val="0"/>
    <w:qFormat/>
    <w:pPr>
      <w:jc w:val="center"/>
      <w:spacing w:line="360" w:lineRule="atLeast"/>
      <w:widowControl/>
    </w:pPr>
    <w:rPr>
      <w:rFonts w:ascii="宋体" w:cs="宋体"/>
      <w:sz w:val="24"/>
    </w:rPr>
  </w:style>
  <w:style w:type="paragraph" w:styleId="1257" w:customStyle="1">
    <w:name w:val="pa-3"/>
    <w:basedOn w:val="796"/>
    <w:uiPriority w:val="0"/>
    <w:qFormat/>
    <w:pPr>
      <w:jc w:val="left"/>
      <w:spacing w:before="150" w:after="150"/>
      <w:widowControl/>
    </w:pPr>
    <w:rPr>
      <w:rFonts w:ascii="宋体" w:cs="宋体"/>
      <w:sz w:val="24"/>
    </w:rPr>
  </w:style>
  <w:style w:type="paragraph" w:styleId="1258" w:customStyle="1">
    <w:name w:val="font5"/>
    <w:basedOn w:val="796"/>
    <w:uiPriority w:val="0"/>
    <w:qFormat/>
    <w:pPr>
      <w:jc w:val="left"/>
      <w:spacing w:before="100" w:beforeAutospacing="1" w:after="100" w:afterAutospacing="1"/>
      <w:widowControl/>
    </w:pPr>
    <w:rPr>
      <w:rFonts w:ascii="宋体"/>
      <w:sz w:val="18"/>
      <w:szCs w:val="18"/>
    </w:rPr>
  </w:style>
  <w:style w:type="paragraph" w:styleId="1259" w:customStyle="1">
    <w:name w:val="pa-5"/>
    <w:basedOn w:val="796"/>
    <w:uiPriority w:val="0"/>
    <w:qFormat/>
    <w:pPr>
      <w:spacing w:line="280" w:lineRule="atLeast"/>
      <w:widowControl/>
    </w:pPr>
    <w:rPr>
      <w:rFonts w:ascii="宋体" w:cs="宋体"/>
      <w:sz w:val="24"/>
    </w:rPr>
  </w:style>
  <w:style w:type="paragraph" w:styleId="1260" w:customStyle="1">
    <w:name w:val="xl39"/>
    <w:basedOn w:val="79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61" w:customStyle="1">
    <w:name w:val="font6"/>
    <w:basedOn w:val="796"/>
    <w:uiPriority w:val="0"/>
    <w:qFormat/>
    <w:pPr>
      <w:jc w:val="left"/>
      <w:spacing w:before="100" w:beforeAutospacing="1" w:after="100" w:afterAutospacing="1"/>
      <w:widowControl/>
    </w:pPr>
    <w:rPr>
      <w:sz w:val="20"/>
      <w:szCs w:val="20"/>
    </w:rPr>
  </w:style>
  <w:style w:type="paragraph" w:styleId="1262" w:customStyle="1">
    <w:name w:val="font9"/>
    <w:basedOn w:val="796"/>
    <w:uiPriority w:val="0"/>
    <w:qFormat/>
    <w:pPr>
      <w:jc w:val="left"/>
      <w:spacing w:before="100" w:beforeAutospacing="1" w:after="100" w:afterAutospacing="1"/>
      <w:widowControl/>
    </w:pPr>
    <w:rPr>
      <w:rFonts w:ascii="宋体"/>
      <w:color w:val="000000"/>
      <w:sz w:val="18"/>
      <w:szCs w:val="18"/>
    </w:rPr>
  </w:style>
  <w:style w:type="paragraph" w:styleId="1263" w:customStyle="1">
    <w:name w:val="列出段落1"/>
    <w:basedOn w:val="796"/>
    <w:link w:val="1492"/>
    <w:uiPriority w:val="0"/>
    <w:qFormat/>
    <w:pPr>
      <w:ind w:firstLine="200"/>
    </w:pPr>
  </w:style>
  <w:style w:type="paragraph" w:styleId="1264" w:customStyle="1">
    <w:name w:val="p0"/>
    <w:basedOn w:val="796"/>
    <w:uiPriority w:val="0"/>
    <w:qFormat/>
    <w:pPr>
      <w:widowControl/>
    </w:pPr>
    <w:rPr>
      <w:szCs w:val="21"/>
    </w:rPr>
  </w:style>
  <w:style w:type="paragraph" w:styleId="1265" w:customStyle="1">
    <w:name w:val="Char Char Char Char Char Char Char Char Char Char21"/>
    <w:basedOn w:val="796"/>
    <w:uiPriority w:val="0"/>
    <w:qFormat/>
    <w:rPr>
      <w:rFonts w:ascii="Tahoma" w:hAnsi="Tahoma"/>
      <w:sz w:val="24"/>
      <w:szCs w:val="20"/>
    </w:rPr>
  </w:style>
  <w:style w:type="paragraph" w:styleId="126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67" w:customStyle="1">
    <w:name w:val="表格正文"/>
    <w:basedOn w:val="796"/>
    <w:uiPriority w:val="0"/>
    <w:qFormat/>
    <w:pPr>
      <w:spacing w:line="300" w:lineRule="auto"/>
      <w:tabs>
        <w:tab w:val="left" w:pos="420" w:leader="none"/>
      </w:tabs>
    </w:pPr>
  </w:style>
  <w:style w:type="paragraph" w:styleId="1268" w:customStyle="1">
    <w:name w:val="首页标题小初"/>
    <w:uiPriority w:val="0"/>
    <w:qFormat/>
    <w:pPr>
      <w:jc w:val="center"/>
    </w:pPr>
    <w:rPr>
      <w:rFonts w:ascii="黑体" w:hAnsi="Times New Roman" w:eastAsia="黑体" w:cs="宋体"/>
      <w:sz w:val="72"/>
      <w:lang w:val="en-US" w:eastAsia="zh-CN" w:bidi="ar-SA"/>
    </w:rPr>
  </w:style>
  <w:style w:type="paragraph" w:styleId="1269" w:customStyle="1">
    <w:name w:val="五级条标题"/>
    <w:basedOn w:val="1239"/>
    <w:next w:val="1170"/>
    <w:uiPriority w:val="0"/>
    <w:qFormat/>
    <w:pPr>
      <w:outlineLvl w:val="6"/>
    </w:pPr>
  </w:style>
  <w:style w:type="paragraph" w:styleId="1270" w:customStyle="1">
    <w:name w:val="Char Char Char Char Char Char Char1"/>
    <w:basedOn w:val="796"/>
    <w:uiPriority w:val="0"/>
    <w:qFormat/>
    <w:pPr>
      <w:jc w:val="left"/>
      <w:spacing w:after="160" w:line="240" w:lineRule="exact"/>
      <w:widowControl/>
    </w:pPr>
    <w:rPr>
      <w:rFonts w:ascii="Verdana" w:hAnsi="Verdana"/>
      <w:sz w:val="20"/>
      <w:szCs w:val="20"/>
      <w:lang w:eastAsia="en-US"/>
    </w:rPr>
  </w:style>
  <w:style w:type="paragraph" w:styleId="1271" w:customStyle="1">
    <w:name w:val="ibm-list-next"/>
    <w:basedOn w:val="796"/>
    <w:uiPriority w:val="0"/>
    <w:qFormat/>
    <w:pPr>
      <w:jc w:val="left"/>
      <w:spacing w:before="100" w:beforeAutospacing="1" w:after="100" w:afterAutospacing="1"/>
      <w:widowControl/>
    </w:pPr>
    <w:rPr>
      <w:rFonts w:ascii="宋体" w:cs="宋体"/>
      <w:sz w:val="24"/>
    </w:rPr>
  </w:style>
  <w:style w:type="paragraph" w:styleId="1272" w:customStyle="1">
    <w:name w:val="首页标题 一号"/>
    <w:basedOn w:val="1268"/>
    <w:uiPriority w:val="0"/>
    <w:qFormat/>
    <w:rPr>
      <w:sz w:val="52"/>
    </w:rPr>
  </w:style>
  <w:style w:type="paragraph" w:styleId="1273" w:customStyle="1">
    <w:name w:val="Char Char Char Char Char Char Char Char Char Char2"/>
    <w:basedOn w:val="796"/>
    <w:uiPriority w:val="0"/>
    <w:qFormat/>
    <w:rPr>
      <w:rFonts w:ascii="Tahoma" w:hAnsi="Tahoma"/>
      <w:sz w:val="24"/>
      <w:szCs w:val="20"/>
    </w:rPr>
  </w:style>
  <w:style w:type="paragraph" w:styleId="1274" w:customStyle="1">
    <w:name w:val="正文（编号）"/>
    <w:basedOn w:val="1132"/>
    <w:link w:val="1275"/>
    <w:uiPriority w:val="0"/>
    <w:qFormat/>
    <w:pPr>
      <w:ind w:left="720" w:firstLine="0"/>
      <w:tabs>
        <w:tab w:val="left" w:pos="720" w:leader="none"/>
        <w:tab w:val="left" w:pos="780" w:leader="none"/>
      </w:tabs>
    </w:pPr>
    <w:rPr>
      <w:rFonts w:ascii="Times New Roman" w:hAnsi="Times New Roman"/>
      <w:szCs w:val="24"/>
    </w:rPr>
  </w:style>
  <w:style w:type="character" w:styleId="1275" w:customStyle="1">
    <w:name w:val="正文（编号） Char Char"/>
    <w:link w:val="1274"/>
    <w:uiPriority w:val="0"/>
    <w:qFormat/>
    <w:rPr>
      <w:sz w:val="24"/>
      <w:szCs w:val="24"/>
    </w:rPr>
  </w:style>
  <w:style w:type="paragraph" w:styleId="1276" w:customStyle="1">
    <w:name w:val="表格"/>
    <w:basedOn w:val="796"/>
    <w:uiPriority w:val="0"/>
    <w:qFormat/>
    <w:pPr>
      <w:ind w:firstLine="21"/>
    </w:pPr>
    <w:rPr>
      <w:rFonts w:ascii="宋体"/>
      <w:szCs w:val="20"/>
    </w:rPr>
  </w:style>
  <w:style w:type="character" w:styleId="1277" w:customStyle="1">
    <w:name w:val="正文（缩进） Char Char"/>
    <w:uiPriority w:val="0"/>
    <w:qFormat/>
    <w:rPr>
      <w:rFonts w:eastAsia="宋体"/>
      <w:sz w:val="24"/>
      <w:szCs w:val="24"/>
      <w:lang w:val="en-US" w:eastAsia="zh-CN" w:bidi="ar-SA"/>
    </w:rPr>
  </w:style>
  <w:style w:type="paragraph" w:styleId="1278" w:customStyle="1">
    <w:name w:val="Char Char Char1"/>
    <w:basedOn w:val="796"/>
    <w:uiPriority w:val="0"/>
    <w:qFormat/>
    <w:rPr>
      <w:szCs w:val="21"/>
    </w:rPr>
  </w:style>
  <w:style w:type="paragraph" w:styleId="1279" w:customStyle="1">
    <w:name w:val="样式 正文2 + 首行缩进:  0 厘米 段后: 1.5 行"/>
    <w:basedOn w:val="79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80" w:customStyle="1">
    <w:name w:val="表中文字"/>
    <w:basedOn w:val="796"/>
    <w:uiPriority w:val="0"/>
    <w:qFormat/>
    <w:pPr>
      <w:widowControl/>
    </w:pPr>
    <w:rPr>
      <w:szCs w:val="20"/>
    </w:rPr>
  </w:style>
  <w:style w:type="character" w:styleId="1281" w:customStyle="1">
    <w:name w:val="z1"/>
    <w:uiPriority w:val="0"/>
    <w:qFormat/>
  </w:style>
  <w:style w:type="paragraph" w:styleId="1282" w:customStyle="1">
    <w:name w:val="a1"/>
    <w:basedOn w:val="796"/>
    <w:uiPriority w:val="0"/>
    <w:qFormat/>
    <w:pPr>
      <w:jc w:val="left"/>
      <w:spacing w:before="100" w:beforeAutospacing="1" w:after="100" w:afterAutospacing="1"/>
      <w:widowControl/>
    </w:pPr>
    <w:rPr>
      <w:rFonts w:ascii="宋体"/>
      <w:sz w:val="24"/>
    </w:rPr>
  </w:style>
  <w:style w:type="paragraph" w:styleId="1283" w:customStyle="1">
    <w:name w:val="a0"/>
    <w:basedOn w:val="796"/>
    <w:uiPriority w:val="0"/>
    <w:qFormat/>
    <w:pPr>
      <w:jc w:val="left"/>
      <w:spacing w:before="100" w:beforeAutospacing="1" w:after="100" w:afterAutospacing="1"/>
      <w:widowControl/>
    </w:pPr>
    <w:rPr>
      <w:rFonts w:ascii="宋体"/>
      <w:sz w:val="24"/>
    </w:rPr>
  </w:style>
  <w:style w:type="paragraph" w:styleId="1284" w:customStyle="1">
    <w:name w:val="tabletext"/>
    <w:basedOn w:val="796"/>
    <w:uiPriority w:val="0"/>
    <w:qFormat/>
    <w:pPr>
      <w:jc w:val="left"/>
      <w:spacing w:before="100" w:beforeAutospacing="1" w:after="100" w:afterAutospacing="1"/>
      <w:widowControl/>
    </w:pPr>
    <w:rPr>
      <w:rFonts w:ascii="宋体"/>
      <w:sz w:val="24"/>
    </w:rPr>
  </w:style>
  <w:style w:type="paragraph" w:styleId="1285" w:customStyle="1">
    <w:name w:val="我的样式"/>
    <w:basedOn w:val="796"/>
    <w:uiPriority w:val="0"/>
    <w:qFormat/>
    <w:pPr>
      <w:ind w:firstLine="420"/>
      <w:jc w:val="left"/>
      <w:spacing w:after="120"/>
      <w:widowControl/>
    </w:pPr>
    <w:rPr>
      <w:rFonts w:ascii="宋体"/>
      <w:color w:val="000000"/>
      <w:sz w:val="24"/>
      <w:szCs w:val="16"/>
    </w:rPr>
  </w:style>
  <w:style w:type="paragraph" w:styleId="1286" w:customStyle="1">
    <w:name w:val="Figure and Table Title"/>
    <w:basedOn w:val="796"/>
    <w:uiPriority w:val="0"/>
    <w:qFormat/>
    <w:pPr>
      <w:ind w:left="2160"/>
      <w:jc w:val="left"/>
      <w:widowControl/>
    </w:pPr>
    <w:rPr>
      <w:rFonts w:ascii="Helvetica-Light" w:hAnsi="Helvetica-Light"/>
      <w:b/>
      <w:bCs/>
      <w:sz w:val="20"/>
      <w:lang w:eastAsia="en-US"/>
    </w:rPr>
  </w:style>
  <w:style w:type="paragraph" w:styleId="1287" w:customStyle="1">
    <w:name w:val="Table Text/Title"/>
    <w:basedOn w:val="796"/>
    <w:uiPriority w:val="0"/>
    <w:qFormat/>
    <w:pPr>
      <w:jc w:val="left"/>
      <w:widowControl/>
    </w:pPr>
    <w:rPr>
      <w:rFonts w:ascii="宋体"/>
      <w:b/>
      <w:bCs/>
      <w:sz w:val="20"/>
      <w:szCs w:val="20"/>
      <w:lang w:eastAsia="en-US"/>
    </w:rPr>
  </w:style>
  <w:style w:type="paragraph" w:styleId="1288" w:customStyle="1">
    <w:name w:val="Sourcetext bullet"/>
    <w:basedOn w:val="79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9" w:customStyle="1">
    <w:name w:val="无标题正文 Char Char Char Char Char Char Char Char Char Char Char Char Char Char Char Char Char Char Char Char Char Char Char Char Char Char Char1 Char"/>
    <w:basedOn w:val="796"/>
    <w:uiPriority w:val="0"/>
    <w:qFormat/>
    <w:pPr>
      <w:jc w:val="center"/>
      <w:spacing w:after="160" w:line="240" w:lineRule="exact"/>
      <w:widowControl/>
    </w:pPr>
    <w:rPr>
      <w:rFonts w:ascii="Arial" w:hAnsi="Arial"/>
      <w:sz w:val="20"/>
      <w:szCs w:val="20"/>
      <w:lang w:eastAsia="en-US"/>
    </w:rPr>
  </w:style>
  <w:style w:type="paragraph" w:styleId="1290" w:customStyle="1">
    <w:name w:val="Char Char Char Char"/>
    <w:basedOn w:val="796"/>
    <w:uiPriority w:val="0"/>
    <w:qFormat/>
    <w:pPr>
      <w:ind w:left="560" w:firstLine="200"/>
      <w:jc w:val="left"/>
      <w:spacing w:after="120" w:line="360" w:lineRule="auto"/>
      <w:widowControl/>
    </w:pPr>
    <w:rPr>
      <w:rFonts w:ascii="Verdana" w:hAnsi="Verdana"/>
      <w:sz w:val="24"/>
    </w:rPr>
  </w:style>
  <w:style w:type="character" w:styleId="1291" w:customStyle="1">
    <w:name w:val="style91"/>
    <w:uiPriority w:val="0"/>
    <w:qFormat/>
    <w:rPr>
      <w:color w:val="2060c0"/>
      <w:sz w:val="24"/>
      <w:szCs w:val="24"/>
    </w:rPr>
  </w:style>
  <w:style w:type="paragraph" w:styleId="1292" w:customStyle="1">
    <w:name w:val="标准小四"/>
    <w:basedOn w:val="796"/>
    <w:uiPriority w:val="0"/>
    <w:qFormat/>
    <w:pPr>
      <w:ind w:firstLine="200"/>
      <w:spacing w:line="360" w:lineRule="auto"/>
    </w:pPr>
    <w:rPr>
      <w:rFonts w:ascii="Arial" w:hAnsi="Arial"/>
      <w:sz w:val="24"/>
      <w:szCs w:val="21"/>
    </w:rPr>
  </w:style>
  <w:style w:type="paragraph" w:styleId="1293" w:customStyle="1">
    <w:name w:val="样式 正文首行缩进 + 宋体 首行缩进:  0.74 厘米"/>
    <w:basedOn w:val="1102"/>
    <w:uiPriority w:val="0"/>
    <w:qFormat/>
    <w:pPr>
      <w:ind w:firstLine="210"/>
      <w:spacing w:before="120" w:after="0" w:line="380" w:lineRule="exact"/>
    </w:pPr>
    <w:rPr>
      <w:rFonts w:ascii="宋体" w:cs="宋体"/>
      <w:sz w:val="24"/>
      <w:szCs w:val="20"/>
    </w:rPr>
  </w:style>
  <w:style w:type="paragraph" w:styleId="1294" w:customStyle="1">
    <w:name w:val="默认段落字体 Para Char Char Char Char Char Char Char Char Char1"/>
    <w:basedOn w:val="796"/>
    <w:uiPriority w:val="0"/>
    <w:qFormat/>
    <w:rPr>
      <w:rFonts w:ascii="Tahoma" w:hAnsi="Tahoma"/>
      <w:sz w:val="24"/>
      <w:szCs w:val="20"/>
    </w:rPr>
  </w:style>
  <w:style w:type="paragraph" w:styleId="1295" w:customStyle="1">
    <w:name w:val="正文小四"/>
    <w:basedOn w:val="796"/>
    <w:uiPriority w:val="0"/>
    <w:qFormat/>
    <w:pPr>
      <w:spacing w:line="312" w:lineRule="auto"/>
    </w:pPr>
    <w:rPr>
      <w:sz w:val="24"/>
    </w:rPr>
  </w:style>
  <w:style w:type="paragraph" w:styleId="1296" w:customStyle="1">
    <w:name w:val="ul"/>
    <w:basedOn w:val="796"/>
    <w:uiPriority w:val="0"/>
    <w:qFormat/>
    <w:pPr>
      <w:numPr>
        <w:ilvl w:val="0"/>
        <w:numId w:val="1"/>
      </w:numPr>
      <w:ind w:left="567" w:hanging="85"/>
      <w:jc w:val="left"/>
      <w:spacing w:line="360" w:lineRule="auto"/>
      <w:widowControl/>
      <w:tabs>
        <w:tab w:val="left" w:pos="842" w:leader="none"/>
      </w:tabs>
    </w:pPr>
    <w:rPr>
      <w:sz w:val="24"/>
    </w:rPr>
  </w:style>
  <w:style w:type="paragraph" w:styleId="1297" w:customStyle="1">
    <w:name w:val="Bullet"/>
    <w:basedOn w:val="79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8" w:customStyle="1">
    <w:name w:val="正文（首行缩进）"/>
    <w:basedOn w:val="796"/>
    <w:uiPriority w:val="0"/>
    <w:qFormat/>
    <w:pPr>
      <w:ind w:firstLine="482"/>
      <w:spacing w:before="120" w:line="360" w:lineRule="auto"/>
      <w:widowControl/>
    </w:pPr>
    <w:rPr>
      <w:sz w:val="24"/>
      <w:szCs w:val="20"/>
    </w:rPr>
  </w:style>
  <w:style w:type="character" w:styleId="1299" w:customStyle="1">
    <w:name w:val="style161"/>
    <w:uiPriority w:val="0"/>
    <w:qFormat/>
    <w:rPr>
      <w:rFonts w:ascii="Verdana" w:hAnsi="Verdana" w:eastAsia="宋体"/>
      <w:b/>
      <w:color w:val="0a246a"/>
      <w:sz w:val="24"/>
      <w:szCs w:val="24"/>
      <w:lang w:val="en-US" w:eastAsia="zh-CN" w:bidi="ar-SA"/>
    </w:rPr>
  </w:style>
  <w:style w:type="paragraph" w:styleId="1300" w:customStyle="1">
    <w:name w:val="正文（首行缩进两字）"/>
    <w:basedOn w:val="796"/>
    <w:uiPriority w:val="0"/>
    <w:qFormat/>
    <w:pPr>
      <w:spacing w:line="312" w:lineRule="auto"/>
    </w:pPr>
    <w:rPr>
      <w:rFonts w:ascii="宋体" w:cs="宋体"/>
      <w:sz w:val="24"/>
    </w:rPr>
  </w:style>
  <w:style w:type="paragraph" w:styleId="1301" w:customStyle="1">
    <w:name w:val="正文文字缩进 3"/>
    <w:basedOn w:val="796"/>
    <w:uiPriority w:val="0"/>
    <w:qFormat/>
    <w:pPr>
      <w:ind w:left="420" w:firstLine="420"/>
      <w:spacing w:line="312" w:lineRule="auto"/>
    </w:pPr>
    <w:rPr>
      <w:rFonts w:ascii="黑体" w:hAnsi="黑体" w:cs="宋体"/>
      <w:bCs/>
      <w:color w:val="000000"/>
      <w:sz w:val="24"/>
    </w:rPr>
  </w:style>
  <w:style w:type="paragraph" w:styleId="1302" w:customStyle="1">
    <w:name w:val="技术方案3"/>
    <w:basedOn w:val="796"/>
    <w:uiPriority w:val="0"/>
    <w:qFormat/>
    <w:pPr>
      <w:spacing w:line="360" w:lineRule="auto"/>
    </w:pPr>
    <w:rPr>
      <w:rFonts w:ascii="宋体"/>
      <w:b/>
      <w:bCs/>
      <w:sz w:val="32"/>
    </w:rPr>
  </w:style>
  <w:style w:type="paragraph" w:styleId="1303" w:customStyle="1">
    <w:name w:val="技术方案2"/>
    <w:basedOn w:val="796"/>
    <w:uiPriority w:val="0"/>
    <w:qFormat/>
    <w:pPr>
      <w:spacing w:line="480" w:lineRule="auto"/>
    </w:pPr>
    <w:rPr>
      <w:rFonts w:ascii="宋体"/>
      <w:b/>
      <w:bCs/>
      <w:sz w:val="36"/>
    </w:rPr>
  </w:style>
  <w:style w:type="paragraph" w:styleId="1304" w:customStyle="1">
    <w:name w:val="技术方案正文"/>
    <w:basedOn w:val="796"/>
    <w:uiPriority w:val="0"/>
    <w:qFormat/>
    <w:pPr>
      <w:ind w:firstLine="480"/>
      <w:spacing w:line="360" w:lineRule="auto"/>
    </w:pPr>
    <w:rPr>
      <w:rFonts w:ascii="宋体"/>
      <w:sz w:val="24"/>
    </w:rPr>
  </w:style>
  <w:style w:type="paragraph" w:styleId="130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06" w:customStyle="1">
    <w:name w:val="Normal Paragraph"/>
    <w:basedOn w:val="796"/>
    <w:uiPriority w:val="0"/>
    <w:qFormat/>
    <w:pPr>
      <w:ind w:firstLine="425"/>
      <w:spacing w:before="120" w:line="360" w:lineRule="auto"/>
      <w:widowControl/>
    </w:pPr>
    <w:rPr>
      <w:sz w:val="24"/>
      <w:szCs w:val="20"/>
    </w:rPr>
  </w:style>
  <w:style w:type="paragraph" w:styleId="1307" w:customStyle="1">
    <w:name w:val="Normal Paragraph Char"/>
    <w:basedOn w:val="796"/>
    <w:uiPriority w:val="0"/>
    <w:qFormat/>
    <w:pPr>
      <w:ind w:firstLine="425"/>
      <w:spacing w:before="120" w:line="360" w:lineRule="auto"/>
      <w:widowControl/>
    </w:pPr>
    <w:rPr>
      <w:sz w:val="24"/>
    </w:rPr>
  </w:style>
  <w:style w:type="paragraph" w:styleId="1308" w:customStyle="1">
    <w:name w:val="文档正文"/>
    <w:basedOn w:val="796"/>
    <w:uiPriority w:val="0"/>
    <w:qFormat/>
    <w:rPr>
      <w:rFonts w:ascii="宋体"/>
      <w:szCs w:val="20"/>
    </w:rPr>
  </w:style>
  <w:style w:type="paragraph" w:styleId="1309" w:customStyle="1">
    <w:name w:val="默认段落字体 Para Char Char Char Char Char"/>
    <w:basedOn w:val="796"/>
    <w:uiPriority w:val="0"/>
    <w:qFormat/>
    <w:pPr>
      <w:ind w:firstLine="200"/>
      <w:jc w:val="left"/>
      <w:spacing w:before="100" w:beforeAutospacing="1" w:after="100" w:afterAutospacing="1" w:line="360" w:lineRule="auto"/>
    </w:pPr>
    <w:rPr>
      <w:rFonts w:ascii="Arial" w:hAnsi="Arial"/>
      <w:sz w:val="24"/>
      <w:lang w:eastAsia="en-US"/>
    </w:rPr>
  </w:style>
  <w:style w:type="paragraph" w:styleId="1310" w:customStyle="1">
    <w:name w:val="标题2"/>
    <w:basedOn w:val="796"/>
    <w:uiPriority w:val="0"/>
    <w:qFormat/>
    <w:pPr>
      <w:tabs>
        <w:tab w:val="left" w:pos="0" w:leader="none"/>
      </w:tabs>
    </w:pPr>
    <w:rPr>
      <w:rFonts w:ascii="黑体" w:eastAsia="黑体"/>
      <w:sz w:val="24"/>
    </w:rPr>
  </w:style>
  <w:style w:type="paragraph" w:styleId="1311" w:customStyle="1">
    <w:name w:val="Char Char Char Char Char Char Char Char Char Char Char Char Char1"/>
    <w:basedOn w:val="796"/>
    <w:uiPriority w:val="0"/>
    <w:qFormat/>
    <w:pPr>
      <w:jc w:val="left"/>
      <w:spacing w:after="160" w:line="240" w:lineRule="exact"/>
      <w:widowControl/>
    </w:pPr>
    <w:rPr>
      <w:rFonts w:ascii="Arial" w:hAnsi="Arial" w:eastAsia="Times New Roman" w:cs="Verdana"/>
      <w:b/>
      <w:sz w:val="24"/>
      <w:szCs w:val="32"/>
      <w:lang w:eastAsia="en-US"/>
    </w:rPr>
  </w:style>
  <w:style w:type="paragraph" w:styleId="1312" w:customStyle="1">
    <w:name w:val="样式2"/>
    <w:basedOn w:val="880"/>
    <w:uiPriority w:val="0"/>
    <w:qFormat/>
    <w:pPr>
      <w:spacing w:line="415" w:lineRule="auto"/>
    </w:pPr>
    <w:rPr>
      <w:rFonts w:ascii="Calibri" w:hAnsi="Calibri"/>
      <w:bCs/>
      <w:color w:val="000000"/>
      <w:sz w:val="28"/>
      <w:szCs w:val="28"/>
    </w:rPr>
  </w:style>
  <w:style w:type="paragraph" w:styleId="1313" w:customStyle="1">
    <w:name w:val="样式3"/>
    <w:basedOn w:val="880"/>
    <w:uiPriority w:val="0"/>
    <w:qFormat/>
    <w:pPr>
      <w:spacing w:line="415" w:lineRule="auto"/>
    </w:pPr>
    <w:rPr>
      <w:rFonts w:ascii="Calibri" w:hAnsi="Calibri"/>
      <w:bCs/>
      <w:color w:val="000000"/>
      <w:sz w:val="28"/>
      <w:szCs w:val="28"/>
    </w:rPr>
  </w:style>
  <w:style w:type="paragraph" w:styleId="1314" w:customStyle="1">
    <w:name w:val="样式4"/>
    <w:basedOn w:val="880"/>
    <w:uiPriority w:val="0"/>
    <w:qFormat/>
    <w:pPr>
      <w:spacing w:line="415" w:lineRule="auto"/>
    </w:pPr>
    <w:rPr>
      <w:rFonts w:ascii="Calibri" w:hAnsi="Calibri"/>
      <w:bCs/>
      <w:color w:val="000000"/>
      <w:sz w:val="28"/>
      <w:szCs w:val="28"/>
    </w:rPr>
  </w:style>
  <w:style w:type="paragraph" w:styleId="1315" w:customStyle="1">
    <w:name w:val="样式5"/>
    <w:basedOn w:val="880"/>
    <w:uiPriority w:val="0"/>
    <w:qFormat/>
    <w:pPr>
      <w:spacing w:line="415" w:lineRule="auto"/>
    </w:pPr>
    <w:rPr>
      <w:rFonts w:ascii="Calibri" w:hAnsi="Calibri"/>
      <w:bCs/>
      <w:color w:val="000000"/>
      <w:sz w:val="28"/>
      <w:szCs w:val="28"/>
    </w:rPr>
  </w:style>
  <w:style w:type="paragraph" w:styleId="1316" w:customStyle="1">
    <w:name w:val="样式6"/>
    <w:basedOn w:val="124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7" w:customStyle="1">
    <w:name w:val="大汉方案正文 Char"/>
    <w:basedOn w:val="796"/>
    <w:uiPriority w:val="0"/>
    <w:qFormat/>
    <w:pPr>
      <w:ind w:firstLine="200"/>
      <w:spacing w:line="360" w:lineRule="auto"/>
    </w:pPr>
    <w:rPr>
      <w:rFonts w:ascii="Arial" w:hAnsi="Arial"/>
      <w:sz w:val="24"/>
    </w:rPr>
  </w:style>
  <w:style w:type="character" w:styleId="1318" w:customStyle="1">
    <w:name w:val="标题 2 Char Char Char"/>
    <w:uiPriority w:val="0"/>
    <w:qFormat/>
    <w:rPr>
      <w:rFonts w:ascii="Arial" w:hAnsi="Arial" w:eastAsia="宋体" w:cs="Arial"/>
      <w:b/>
      <w:bCs/>
      <w:i/>
      <w:iCs/>
      <w:sz w:val="28"/>
      <w:szCs w:val="28"/>
      <w:lang w:val="en-US" w:eastAsia="zh-CN" w:bidi="ar-SA"/>
    </w:rPr>
  </w:style>
  <w:style w:type="character" w:styleId="1319" w:customStyle="1">
    <w:name w:val="question-title"/>
    <w:uiPriority w:val="0"/>
    <w:qFormat/>
  </w:style>
  <w:style w:type="paragraph" w:styleId="1320" w:customStyle="1">
    <w:name w:val="说明书2级标题"/>
    <w:basedOn w:val="796"/>
    <w:next w:val="1321"/>
    <w:uiPriority w:val="0"/>
    <w:qFormat/>
    <w:pPr>
      <w:numPr>
        <w:ilvl w:val="2"/>
        <w:numId w:val="2"/>
      </w:numPr>
      <w:spacing w:before="100"/>
    </w:pPr>
    <w:rPr>
      <w:rFonts w:eastAsia="黑体"/>
      <w:sz w:val="28"/>
      <w:szCs w:val="28"/>
    </w:rPr>
  </w:style>
  <w:style w:type="paragraph" w:styleId="1321" w:customStyle="1">
    <w:name w:val="说明书3级标题"/>
    <w:basedOn w:val="796"/>
    <w:next w:val="796"/>
    <w:uiPriority w:val="0"/>
    <w:qFormat/>
    <w:pPr>
      <w:numPr>
        <w:ilvl w:val="2"/>
        <w:numId w:val="3"/>
      </w:numPr>
      <w:spacing w:line="360" w:lineRule="auto"/>
    </w:pPr>
    <w:rPr>
      <w:rFonts w:eastAsia="黑体"/>
      <w:sz w:val="24"/>
    </w:rPr>
  </w:style>
  <w:style w:type="character" w:styleId="1322" w:customStyle="1">
    <w:name w:val="style15"/>
    <w:uiPriority w:val="0"/>
    <w:qFormat/>
  </w:style>
  <w:style w:type="paragraph" w:styleId="1323" w:customStyle="1">
    <w:name w:val="列出段落[858D7CFB-ED40-4347-BF05-701D383B685F][858D7CFB-ED40-4347-BF05-701D383B685F]"/>
    <w:basedOn w:val="796"/>
    <w:uiPriority w:val="0"/>
    <w:qFormat/>
    <w:pPr>
      <w:ind w:firstLine="200"/>
    </w:pPr>
  </w:style>
  <w:style w:type="paragraph" w:styleId="1324" w:customStyle="1">
    <w:name w:val="默认段落字体 Para Char Char Char Char Char Char Char Char Char1 Char Char Char Char Char Char Char Char"/>
    <w:basedOn w:val="1066"/>
    <w:uiPriority w:val="0"/>
    <w:qFormat/>
  </w:style>
  <w:style w:type="paragraph" w:styleId="1325" w:customStyle="1">
    <w:name w:val="style42"/>
    <w:basedOn w:val="796"/>
    <w:uiPriority w:val="0"/>
    <w:qFormat/>
    <w:pPr>
      <w:jc w:val="left"/>
      <w:spacing w:before="100" w:beforeAutospacing="1" w:after="100" w:afterAutospacing="1"/>
      <w:widowControl/>
    </w:pPr>
    <w:rPr>
      <w:rFonts w:ascii="宋体" w:cs="宋体"/>
      <w:color w:val="000000"/>
      <w:sz w:val="15"/>
      <w:szCs w:val="15"/>
    </w:rPr>
  </w:style>
  <w:style w:type="paragraph" w:styleId="1326" w:customStyle="1">
    <w:name w:val="Char Char1 Char Char Char Char Char Char Char Char"/>
    <w:basedOn w:val="796"/>
    <w:uiPriority w:val="0"/>
    <w:qFormat/>
    <w:pPr>
      <w:jc w:val="left"/>
      <w:spacing w:after="160" w:line="240" w:lineRule="exact"/>
      <w:widowControl/>
    </w:pPr>
  </w:style>
  <w:style w:type="paragraph" w:styleId="1327" w:customStyle="1">
    <w:name w:val="技术方案正文样式"/>
    <w:basedOn w:val="796"/>
    <w:uiPriority w:val="0"/>
    <w:qFormat/>
    <w:pPr>
      <w:ind w:firstLine="200"/>
      <w:spacing w:line="400" w:lineRule="exact"/>
    </w:pPr>
    <w:rPr>
      <w:rFonts w:ascii="宋体" w:cs="宋体"/>
      <w:sz w:val="24"/>
      <w:szCs w:val="21"/>
    </w:rPr>
  </w:style>
  <w:style w:type="paragraph" w:styleId="1328" w:customStyle="1">
    <w:name w:val="修订1"/>
    <w:uiPriority w:val="0"/>
    <w:qFormat/>
    <w:rPr>
      <w:rFonts w:ascii="Times New Roman" w:hAnsi="Times New Roman" w:eastAsia="宋体" w:cs="Times New Roman"/>
      <w:sz w:val="21"/>
      <w:szCs w:val="24"/>
      <w:lang w:val="en-US" w:eastAsia="zh-CN" w:bidi="ar-SA"/>
    </w:rPr>
  </w:style>
  <w:style w:type="paragraph" w:styleId="1329" w:customStyle="1">
    <w:name w:val="D&amp;L"/>
    <w:basedOn w:val="1087"/>
    <w:uiPriority w:val="0"/>
    <w:qFormat/>
    <w:pPr>
      <w:spacing w:line="240" w:lineRule="atLeast"/>
      <w:pBdr>
        <w:bottom w:val="single" w:color="000000" w:sz="18" w:space="1"/>
      </w:pBdr>
    </w:pPr>
    <w:rPr>
      <w:sz w:val="24"/>
      <w:szCs w:val="20"/>
    </w:rPr>
  </w:style>
  <w:style w:type="paragraph" w:styleId="1330" w:customStyle="1">
    <w:name w:val="样式 标题 2 + Times New Roman 四号 非加粗 段前: 5 磅 段后: 0 磅 行距: 固定值 20..."/>
    <w:basedOn w:val="878"/>
    <w:uiPriority w:val="0"/>
    <w:qFormat/>
    <w:pPr>
      <w:spacing w:before="100" w:after="0" w:line="400" w:lineRule="exact"/>
    </w:pPr>
    <w:rPr>
      <w:rFonts w:ascii="Times New Roman" w:hAnsi="Times New Roman" w:cs="宋体"/>
      <w:b w:val="0"/>
      <w:sz w:val="28"/>
    </w:rPr>
  </w:style>
  <w:style w:type="paragraph" w:styleId="1331" w:customStyle="1">
    <w:name w:val="Char Char Char Char Char Char Char1 Char"/>
    <w:basedOn w:val="796"/>
    <w:uiPriority w:val="0"/>
    <w:qFormat/>
    <w:rPr>
      <w:rFonts w:ascii="Tahoma" w:hAnsi="Tahoma"/>
      <w:sz w:val="24"/>
      <w:szCs w:val="20"/>
    </w:rPr>
  </w:style>
  <w:style w:type="paragraph" w:styleId="1332" w:customStyle="1">
    <w:name w:val="TOC 标题2"/>
    <w:basedOn w:val="876"/>
    <w:next w:val="796"/>
    <w:uiPriority w:val="0"/>
    <w:qFormat/>
    <w:pPr>
      <w:spacing w:before="480" w:after="0" w:line="276" w:lineRule="auto"/>
      <w:widowControl/>
      <w:outlineLvl w:val="9"/>
    </w:pPr>
    <w:rPr>
      <w:rFonts w:ascii="Cambria" w:hAnsi="Cambria"/>
      <w:color w:val="365f91"/>
      <w:sz w:val="28"/>
    </w:rPr>
  </w:style>
  <w:style w:type="paragraph" w:styleId="1333" w:customStyle="1">
    <w:name w:val="无间隔11"/>
    <w:link w:val="1334"/>
    <w:uiPriority w:val="0"/>
    <w:qFormat/>
    <w:rPr>
      <w:rFonts w:ascii="Calibri" w:hAnsi="Calibri" w:eastAsia="宋体" w:cs="Times New Roman"/>
      <w:sz w:val="22"/>
      <w:lang w:val="en-US" w:eastAsia="zh-CN" w:bidi="ar-SA"/>
    </w:rPr>
  </w:style>
  <w:style w:type="character" w:styleId="1334" w:customStyle="1">
    <w:name w:val="无间隔 字符"/>
    <w:link w:val="1333"/>
    <w:uiPriority w:val="0"/>
    <w:qFormat/>
    <w:rPr>
      <w:rFonts w:ascii="Calibri" w:hAnsi="Calibri"/>
      <w:sz w:val="22"/>
      <w:lang w:bidi="ar-SA"/>
    </w:rPr>
  </w:style>
  <w:style w:type="paragraph" w:styleId="1335" w:customStyle="1">
    <w:name w:val="Normal_0"/>
    <w:uiPriority w:val="0"/>
    <w:qFormat/>
    <w:rPr>
      <w:rFonts w:ascii="黑体" w:hAnsi="黑体" w:eastAsia="黑体" w:cs="Times New Roman"/>
      <w:b/>
      <w:sz w:val="32"/>
      <w:szCs w:val="24"/>
      <w:lang w:val="en-US" w:eastAsia="zh-CN" w:bidi="ar-SA"/>
    </w:rPr>
  </w:style>
  <w:style w:type="paragraph" w:styleId="133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Normal_1"/>
    <w:uiPriority w:val="0"/>
    <w:qFormat/>
    <w:rPr>
      <w:rFonts w:ascii="黑体" w:hAnsi="黑体" w:eastAsia="黑体" w:cs="Times New Roman"/>
      <w:b/>
      <w:sz w:val="32"/>
      <w:szCs w:val="24"/>
      <w:lang w:val="en-US" w:eastAsia="zh-CN" w:bidi="ar-SA"/>
    </w:rPr>
  </w:style>
  <w:style w:type="paragraph" w:styleId="133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33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41" w:customStyle="1">
    <w:name w:val="Normal_2"/>
    <w:uiPriority w:val="0"/>
    <w:qFormat/>
    <w:rPr>
      <w:rFonts w:ascii="黑体" w:hAnsi="黑体" w:eastAsia="黑体" w:cs="Times New Roman"/>
      <w:b/>
      <w:sz w:val="32"/>
      <w:szCs w:val="24"/>
      <w:lang w:val="en-US" w:eastAsia="zh-CN" w:bidi="ar-SA"/>
    </w:rPr>
  </w:style>
  <w:style w:type="paragraph" w:styleId="134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3"/>
    <w:uiPriority w:val="0"/>
    <w:qFormat/>
    <w:rPr>
      <w:rFonts w:ascii="黑体" w:hAnsi="黑体" w:eastAsia="黑体" w:cs="Times New Roman"/>
      <w:b/>
      <w:sz w:val="32"/>
      <w:szCs w:val="24"/>
      <w:lang w:val="en-US" w:eastAsia="zh-CN" w:bidi="ar-SA"/>
    </w:rPr>
  </w:style>
  <w:style w:type="paragraph" w:styleId="1344" w:customStyle="1">
    <w:name w:val="Normal_4"/>
    <w:uiPriority w:val="0"/>
    <w:qFormat/>
    <w:rPr>
      <w:rFonts w:ascii="黑体" w:hAnsi="黑体" w:eastAsia="黑体" w:cs="Times New Roman"/>
      <w:b/>
      <w:sz w:val="32"/>
      <w:szCs w:val="24"/>
      <w:lang w:val="en-US" w:eastAsia="zh-CN" w:bidi="ar-SA"/>
    </w:rPr>
  </w:style>
  <w:style w:type="paragraph" w:styleId="1345" w:customStyle="1">
    <w:name w:val="Normal_5"/>
    <w:uiPriority w:val="0"/>
    <w:qFormat/>
    <w:rPr>
      <w:rFonts w:ascii="黑体" w:hAnsi="黑体" w:eastAsia="黑体" w:cs="Times New Roman"/>
      <w:b/>
      <w:sz w:val="32"/>
      <w:szCs w:val="24"/>
      <w:lang w:val="en-US" w:eastAsia="zh-CN" w:bidi="ar-SA"/>
    </w:rPr>
  </w:style>
  <w:style w:type="paragraph" w:styleId="134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Normal_6"/>
    <w:uiPriority w:val="0"/>
    <w:qFormat/>
    <w:rPr>
      <w:rFonts w:ascii="黑体" w:hAnsi="黑体" w:eastAsia="黑体" w:cs="Times New Roman"/>
      <w:b/>
      <w:sz w:val="32"/>
      <w:szCs w:val="24"/>
      <w:lang w:val="en-US" w:eastAsia="zh-CN" w:bidi="ar-SA"/>
    </w:rPr>
  </w:style>
  <w:style w:type="paragraph" w:styleId="1348"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49" w:customStyle="1">
    <w:name w:val="Normal_7"/>
    <w:uiPriority w:val="0"/>
    <w:qFormat/>
    <w:rPr>
      <w:rFonts w:ascii="黑体" w:hAnsi="黑体" w:eastAsia="黑体" w:cs="Times New Roman"/>
      <w:b/>
      <w:sz w:val="32"/>
      <w:szCs w:val="24"/>
      <w:lang w:val="en-US" w:eastAsia="zh-CN" w:bidi="ar-SA"/>
    </w:rPr>
  </w:style>
  <w:style w:type="paragraph" w:styleId="1350" w:customStyle="1">
    <w:name w:val="Normal_8"/>
    <w:uiPriority w:val="0"/>
    <w:qFormat/>
    <w:rPr>
      <w:rFonts w:ascii="Times New Roman" w:hAnsi="Times New Roman" w:eastAsia="Times New Roman" w:cs="Times New Roman"/>
      <w:sz w:val="24"/>
      <w:szCs w:val="24"/>
      <w:lang w:val="en-US" w:eastAsia="zh-CN" w:bidi="ar-SA"/>
    </w:rPr>
  </w:style>
  <w:style w:type="paragraph" w:styleId="1351" w:customStyle="1">
    <w:name w:val="Normal_9"/>
    <w:uiPriority w:val="0"/>
    <w:qFormat/>
    <w:rPr>
      <w:rFonts w:ascii="黑体" w:hAnsi="黑体" w:eastAsia="黑体" w:cs="Times New Roman"/>
      <w:b/>
      <w:sz w:val="32"/>
      <w:szCs w:val="24"/>
      <w:lang w:val="en-US" w:eastAsia="zh-CN" w:bidi="ar-SA"/>
    </w:rPr>
  </w:style>
  <w:style w:type="paragraph" w:styleId="135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53" w:customStyle="1">
    <w:name w:val="Normal_10"/>
    <w:uiPriority w:val="0"/>
    <w:qFormat/>
    <w:rPr>
      <w:rFonts w:ascii="黑体" w:hAnsi="黑体" w:eastAsia="黑体" w:cs="Times New Roman"/>
      <w:b/>
      <w:sz w:val="32"/>
      <w:szCs w:val="24"/>
      <w:lang w:val="en-US" w:eastAsia="zh-CN" w:bidi="ar-SA"/>
    </w:rPr>
  </w:style>
  <w:style w:type="paragraph" w:styleId="1354"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55" w:customStyle="1">
    <w:name w:val="正文缩进_0"/>
    <w:basedOn w:val="1354"/>
    <w:link w:val="1356"/>
    <w:uiPriority w:val="0"/>
    <w:unhideWhenUsed/>
    <w:qFormat/>
    <w:pPr>
      <w:ind w:firstLine="420"/>
    </w:pPr>
    <w:rPr>
      <w:szCs w:val="22"/>
    </w:rPr>
  </w:style>
  <w:style w:type="character" w:styleId="1356" w:customStyle="1">
    <w:name w:val="正文缩进 Char1_0"/>
    <w:link w:val="1355"/>
    <w:uiPriority w:val="0"/>
    <w:qFormat/>
    <w:rPr>
      <w:sz w:val="21"/>
      <w:szCs w:val="22"/>
    </w:rPr>
  </w:style>
  <w:style w:type="paragraph" w:styleId="1357" w:customStyle="1">
    <w:name w:val="纯文本_0"/>
    <w:basedOn w:val="1354"/>
    <w:link w:val="1358"/>
    <w:uiPriority w:val="0"/>
    <w:unhideWhenUsed/>
    <w:qFormat/>
    <w:rPr>
      <w:rFonts w:ascii="宋体" w:hAnsi="Courier New"/>
      <w:szCs w:val="21"/>
    </w:rPr>
  </w:style>
  <w:style w:type="character" w:styleId="1358" w:customStyle="1">
    <w:name w:val="纯文本 Char_0"/>
    <w:link w:val="1357"/>
    <w:uiPriority w:val="0"/>
    <w:qFormat/>
    <w:rPr>
      <w:rFonts w:ascii="宋体" w:hAnsi="Courier New" w:cs="Courier New"/>
      <w:sz w:val="21"/>
      <w:szCs w:val="21"/>
    </w:rPr>
  </w:style>
  <w:style w:type="paragraph" w:styleId="1359" w:customStyle="1">
    <w:name w:val="Normal_11"/>
    <w:uiPriority w:val="0"/>
    <w:qFormat/>
    <w:rPr>
      <w:rFonts w:ascii="黑体" w:hAnsi="黑体" w:eastAsia="黑体" w:cs="Times New Roman"/>
      <w:b/>
      <w:sz w:val="32"/>
      <w:szCs w:val="24"/>
      <w:lang w:val="en-US" w:eastAsia="zh-CN" w:bidi="ar-SA"/>
    </w:rPr>
  </w:style>
  <w:style w:type="paragraph" w:styleId="1360"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61" w:customStyle="1">
    <w:name w:val="Normal_12"/>
    <w:uiPriority w:val="0"/>
    <w:qFormat/>
    <w:rPr>
      <w:rFonts w:ascii="黑体" w:hAnsi="黑体" w:eastAsia="黑体" w:cs="Times New Roman"/>
      <w:b/>
      <w:sz w:val="32"/>
      <w:szCs w:val="24"/>
      <w:lang w:val="en-US" w:eastAsia="zh-CN" w:bidi="ar-SA"/>
    </w:rPr>
  </w:style>
  <w:style w:type="paragraph" w:styleId="1362"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63" w:customStyle="1">
    <w:name w:val="Normal_13"/>
    <w:uiPriority w:val="0"/>
    <w:qFormat/>
    <w:rPr>
      <w:rFonts w:ascii="黑体" w:hAnsi="黑体" w:eastAsia="黑体" w:cs="Times New Roman"/>
      <w:b/>
      <w:sz w:val="32"/>
      <w:szCs w:val="24"/>
      <w:lang w:val="en-US" w:eastAsia="zh-CN" w:bidi="ar-SA"/>
    </w:rPr>
  </w:style>
  <w:style w:type="paragraph" w:styleId="1364"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65" w:customStyle="1">
    <w:name w:val="Normal_14"/>
    <w:uiPriority w:val="0"/>
    <w:qFormat/>
    <w:rPr>
      <w:rFonts w:ascii="黑体" w:hAnsi="黑体" w:eastAsia="黑体" w:cs="Times New Roman"/>
      <w:b/>
      <w:sz w:val="32"/>
      <w:szCs w:val="24"/>
      <w:lang w:val="en-US" w:eastAsia="zh-CN" w:bidi="ar-SA"/>
    </w:rPr>
  </w:style>
  <w:style w:type="paragraph" w:styleId="136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Normal_15"/>
    <w:uiPriority w:val="0"/>
    <w:qFormat/>
    <w:rPr>
      <w:rFonts w:ascii="黑体" w:hAnsi="黑体" w:eastAsia="黑体" w:cs="Times New Roman"/>
      <w:b/>
      <w:sz w:val="32"/>
      <w:szCs w:val="24"/>
      <w:lang w:val="en-US" w:eastAsia="zh-CN" w:bidi="ar-SA"/>
    </w:rPr>
  </w:style>
  <w:style w:type="paragraph" w:styleId="1368"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Normal_16"/>
    <w:uiPriority w:val="0"/>
    <w:qFormat/>
    <w:rPr>
      <w:rFonts w:ascii="黑体" w:hAnsi="黑体" w:eastAsia="黑体" w:cs="Times New Roman"/>
      <w:b/>
      <w:sz w:val="32"/>
      <w:szCs w:val="24"/>
      <w:lang w:val="en-US" w:eastAsia="zh-CN" w:bidi="ar-SA"/>
    </w:rPr>
  </w:style>
  <w:style w:type="paragraph" w:styleId="137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71"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72" w:customStyle="1">
    <w:name w:val="Normal_17"/>
    <w:uiPriority w:val="0"/>
    <w:qFormat/>
    <w:rPr>
      <w:rFonts w:ascii="黑体" w:hAnsi="黑体" w:eastAsia="黑体" w:cs="Times New Roman"/>
      <w:b/>
      <w:sz w:val="32"/>
      <w:szCs w:val="24"/>
      <w:lang w:val="en-US" w:eastAsia="zh-CN" w:bidi="ar-SA"/>
    </w:rPr>
  </w:style>
  <w:style w:type="paragraph" w:styleId="1373" w:customStyle="1">
    <w:name w:val="Normal_18"/>
    <w:uiPriority w:val="0"/>
    <w:qFormat/>
    <w:rPr>
      <w:rFonts w:ascii="黑体" w:hAnsi="黑体" w:eastAsia="黑体" w:cs="Times New Roman"/>
      <w:b/>
      <w:sz w:val="32"/>
      <w:szCs w:val="24"/>
      <w:lang w:val="en-US" w:eastAsia="zh-CN" w:bidi="ar-SA"/>
    </w:rPr>
  </w:style>
  <w:style w:type="paragraph" w:styleId="137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75" w:customStyle="1">
    <w:name w:val="Normal_0_0"/>
    <w:uiPriority w:val="0"/>
    <w:qFormat/>
    <w:rPr>
      <w:rFonts w:ascii="黑体" w:hAnsi="黑体" w:eastAsia="黑体" w:cs="Times New Roman"/>
      <w:b/>
      <w:sz w:val="40"/>
      <w:szCs w:val="24"/>
      <w:lang w:val="en-US" w:eastAsia="zh-CN" w:bidi="ar-SA"/>
    </w:rPr>
  </w:style>
  <w:style w:type="paragraph" w:styleId="1376" w:customStyle="1">
    <w:name w:val="Normal_1_0"/>
    <w:uiPriority w:val="0"/>
    <w:qFormat/>
    <w:rPr>
      <w:rFonts w:ascii="Times New Roman" w:hAnsi="Times New Roman" w:eastAsia="Times New Roman" w:cs="Times New Roman"/>
      <w:sz w:val="24"/>
      <w:szCs w:val="24"/>
      <w:lang w:val="en-US" w:eastAsia="zh-CN" w:bidi="ar-SA"/>
    </w:rPr>
  </w:style>
  <w:style w:type="paragraph" w:styleId="1377"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正文_3"/>
    <w:next w:val="1379"/>
    <w:uiPriority w:val="0"/>
    <w:qFormat/>
    <w:pPr>
      <w:jc w:val="both"/>
      <w:widowControl w:val="off"/>
    </w:pPr>
    <w:rPr>
      <w:rFonts w:ascii="Calibri" w:hAnsi="Calibri" w:eastAsia="宋体" w:cs="Times New Roman"/>
      <w:sz w:val="21"/>
      <w:szCs w:val="22"/>
      <w:lang w:val="en-US" w:eastAsia="zh-CN" w:bidi="ar-SA"/>
    </w:rPr>
  </w:style>
  <w:style w:type="paragraph" w:styleId="1379" w:customStyle="1">
    <w:name w:val="正文首行缩进 2_1"/>
    <w:basedOn w:val="1380"/>
    <w:next w:val="1382"/>
    <w:uiPriority w:val="0"/>
    <w:qFormat/>
    <w:pPr>
      <w:ind w:left="200" w:firstLine="200"/>
      <w:spacing w:after="120"/>
    </w:pPr>
    <w:rPr>
      <w:rFonts w:ascii="Times New Roman" w:hAnsi="Times New Roman"/>
      <w:sz w:val="24"/>
      <w:szCs w:val="24"/>
    </w:rPr>
  </w:style>
  <w:style w:type="paragraph" w:styleId="1380" w:customStyle="1">
    <w:name w:val="正文文本缩进_1"/>
    <w:basedOn w:val="1381"/>
    <w:next w:val="1379"/>
    <w:uiPriority w:val="0"/>
    <w:qFormat/>
    <w:pPr>
      <w:ind w:firstLine="225"/>
    </w:pPr>
    <w:rPr>
      <w:rFonts w:ascii="仿宋_GB2312" w:eastAsia="仿宋_GB2312"/>
      <w:sz w:val="32"/>
    </w:rPr>
  </w:style>
  <w:style w:type="paragraph" w:styleId="1381" w:customStyle="1">
    <w:name w:val="正文_18"/>
    <w:next w:val="1380"/>
    <w:uiPriority w:val="0"/>
    <w:qFormat/>
    <w:pPr>
      <w:jc w:val="both"/>
      <w:widowControl w:val="off"/>
    </w:pPr>
    <w:rPr>
      <w:rFonts w:ascii="Calibri" w:hAnsi="Calibri" w:eastAsia="宋体" w:cs="Times New Roman"/>
      <w:sz w:val="21"/>
      <w:szCs w:val="22"/>
      <w:lang w:val="en-US" w:eastAsia="zh-CN" w:bidi="ar-SA"/>
    </w:rPr>
  </w:style>
  <w:style w:type="paragraph" w:styleId="1382" w:customStyle="1">
    <w:name w:val="xl53_0"/>
    <w:next w:val="1378"/>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383" w:customStyle="1">
    <w:name w:val="正文_16"/>
    <w:next w:val="1384"/>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正文首行缩进 2_0"/>
    <w:basedOn w:val="1385"/>
    <w:uiPriority w:val="0"/>
    <w:qFormat/>
    <w:pPr>
      <w:ind w:left="200" w:firstLine="200"/>
      <w:spacing w:after="120"/>
    </w:pPr>
    <w:rPr>
      <w:rFonts w:ascii="Times New Roman" w:hAnsi="Times New Roman"/>
      <w:sz w:val="24"/>
      <w:szCs w:val="24"/>
    </w:rPr>
  </w:style>
  <w:style w:type="paragraph" w:styleId="1385" w:customStyle="1">
    <w:name w:val="正文文本缩进_0"/>
    <w:basedOn w:val="1383"/>
    <w:uiPriority w:val="0"/>
    <w:qFormat/>
    <w:pPr>
      <w:ind w:firstLine="225"/>
    </w:pPr>
    <w:rPr>
      <w:rFonts w:ascii="仿宋_GB2312" w:eastAsia="仿宋_GB2312"/>
      <w:sz w:val="32"/>
    </w:rPr>
  </w:style>
  <w:style w:type="paragraph" w:styleId="1386" w:customStyle="1">
    <w:name w:val="正文_2"/>
    <w:next w:val="1384"/>
    <w:uiPriority w:val="99"/>
    <w:qFormat/>
    <w:pPr>
      <w:jc w:val="both"/>
      <w:widowControl w:val="off"/>
    </w:pPr>
    <w:rPr>
      <w:rFonts w:ascii="Calibri" w:hAnsi="Calibri" w:eastAsia="宋体" w:cs="Times New Roman"/>
      <w:sz w:val="21"/>
      <w:szCs w:val="22"/>
      <w:lang w:val="en-US" w:eastAsia="zh-CN" w:bidi="ar-SA"/>
    </w:rPr>
  </w:style>
  <w:style w:type="paragraph" w:styleId="1387" w:customStyle="1">
    <w:name w:val="标题 12"/>
    <w:basedOn w:val="865"/>
    <w:next w:val="865"/>
    <w:uiPriority w:val="0"/>
    <w:qFormat/>
    <w:pPr>
      <w:keepLines/>
      <w:keepNext/>
      <w:spacing w:before="340" w:after="330" w:line="576" w:lineRule="auto"/>
      <w:outlineLvl w:val="0"/>
    </w:pPr>
    <w:rPr>
      <w:b/>
      <w:sz w:val="44"/>
      <w:szCs w:val="20"/>
    </w:rPr>
  </w:style>
  <w:style w:type="paragraph" w:styleId="1388" w:customStyle="1">
    <w:name w:val="段_0"/>
    <w:next w:val="1389"/>
    <w:uiPriority w:val="0"/>
    <w:qFormat/>
    <w:pPr>
      <w:ind w:firstLine="200"/>
      <w:jc w:val="both"/>
    </w:pPr>
    <w:rPr>
      <w:rFonts w:ascii="宋体" w:hAnsi="Times New Roman" w:eastAsia="宋体" w:cs="Times New Roman"/>
      <w:sz w:val="21"/>
      <w:lang w:val="en-US" w:eastAsia="zh-CN" w:bidi="ar-SA"/>
    </w:rPr>
  </w:style>
  <w:style w:type="paragraph" w:styleId="1389" w:customStyle="1">
    <w:name w:val="Normal_19_1"/>
    <w:next w:val="1388"/>
    <w:uiPriority w:val="0"/>
    <w:qFormat/>
    <w:rPr>
      <w:rFonts w:ascii="黑体" w:hAnsi="黑体" w:eastAsia="黑体" w:cs="Times New Roman"/>
      <w:b/>
      <w:sz w:val="32"/>
      <w:szCs w:val="24"/>
      <w:lang w:val="en-US" w:eastAsia="zh-CN" w:bidi="ar-SA"/>
    </w:rPr>
  </w:style>
  <w:style w:type="paragraph" w:styleId="1390" w:customStyle="1">
    <w:name w:val="Normal_0_1"/>
    <w:uiPriority w:val="0"/>
    <w:qFormat/>
    <w:rPr>
      <w:rFonts w:ascii="黑体" w:hAnsi="黑体" w:eastAsia="黑体" w:cs="Times New Roman"/>
      <w:b/>
      <w:sz w:val="32"/>
      <w:szCs w:val="24"/>
      <w:lang w:val="en-US" w:eastAsia="zh-CN" w:bidi="ar-SA"/>
    </w:rPr>
  </w:style>
  <w:style w:type="paragraph" w:styleId="1391"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92" w:customStyle="1">
    <w:name w:val="Normal_2_0"/>
    <w:uiPriority w:val="0"/>
    <w:qFormat/>
    <w:rPr>
      <w:rFonts w:ascii="黑体" w:hAnsi="黑体" w:eastAsia="黑体" w:cs="Times New Roman"/>
      <w:b/>
      <w:sz w:val="32"/>
      <w:szCs w:val="24"/>
      <w:lang w:val="en-US" w:eastAsia="zh-CN" w:bidi="ar-SA"/>
    </w:rPr>
  </w:style>
  <w:style w:type="paragraph" w:styleId="139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94" w:customStyle="1">
    <w:name w:val="Normal_3_0"/>
    <w:uiPriority w:val="0"/>
    <w:qFormat/>
    <w:rPr>
      <w:rFonts w:ascii="黑体" w:hAnsi="黑体" w:eastAsia="黑体" w:cs="Times New Roman"/>
      <w:b/>
      <w:sz w:val="32"/>
      <w:szCs w:val="24"/>
      <w:lang w:val="en-US" w:eastAsia="zh-CN" w:bidi="ar-SA"/>
    </w:rPr>
  </w:style>
  <w:style w:type="paragraph" w:styleId="139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96" w:customStyle="1">
    <w:name w:val="Normal_5_0"/>
    <w:uiPriority w:val="0"/>
    <w:qFormat/>
    <w:rPr>
      <w:rFonts w:ascii="黑体" w:hAnsi="黑体" w:eastAsia="黑体" w:cs="Times New Roman"/>
      <w:b/>
      <w:sz w:val="32"/>
      <w:szCs w:val="24"/>
      <w:lang w:val="en-US" w:eastAsia="zh-CN" w:bidi="ar-SA"/>
    </w:rPr>
  </w:style>
  <w:style w:type="paragraph" w:styleId="1397"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98" w:customStyle="1">
    <w:name w:val="Normal_6_0"/>
    <w:uiPriority w:val="0"/>
    <w:qFormat/>
    <w:rPr>
      <w:rFonts w:ascii="黑体" w:hAnsi="黑体" w:eastAsia="黑体" w:cs="Times New Roman"/>
      <w:b/>
      <w:sz w:val="32"/>
      <w:szCs w:val="24"/>
      <w:lang w:val="en-US" w:eastAsia="zh-CN" w:bidi="ar-SA"/>
    </w:rPr>
  </w:style>
  <w:style w:type="paragraph" w:styleId="1399"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400" w:customStyle="1">
    <w:name w:val="Normal_8_0"/>
    <w:uiPriority w:val="0"/>
    <w:qFormat/>
    <w:rPr>
      <w:rFonts w:ascii="黑体" w:hAnsi="黑体" w:eastAsia="黑体" w:cs="Times New Roman"/>
      <w:b/>
      <w:sz w:val="32"/>
      <w:szCs w:val="24"/>
      <w:lang w:val="en-US" w:eastAsia="zh-CN" w:bidi="ar-SA"/>
    </w:rPr>
  </w:style>
  <w:style w:type="paragraph" w:styleId="1401" w:customStyle="1">
    <w:name w:val="Normal_9_0"/>
    <w:uiPriority w:val="0"/>
    <w:qFormat/>
    <w:rPr>
      <w:rFonts w:ascii="Times New Roman" w:hAnsi="Times New Roman" w:eastAsia="Times New Roman" w:cs="Times New Roman"/>
      <w:sz w:val="24"/>
      <w:szCs w:val="24"/>
      <w:lang w:val="en-US" w:eastAsia="zh-CN" w:bidi="ar-SA"/>
    </w:rPr>
  </w:style>
  <w:style w:type="paragraph" w:styleId="1402" w:customStyle="1">
    <w:name w:val="Normal_10_0"/>
    <w:uiPriority w:val="0"/>
    <w:qFormat/>
    <w:rPr>
      <w:rFonts w:ascii="Times New Roman" w:hAnsi="Times New Roman" w:eastAsia="Times New Roman" w:cs="Times New Roman"/>
      <w:sz w:val="24"/>
      <w:szCs w:val="24"/>
      <w:lang w:val="en-US" w:eastAsia="zh-CN" w:bidi="ar-SA"/>
    </w:rPr>
  </w:style>
  <w:style w:type="paragraph" w:styleId="1403" w:customStyle="1">
    <w:name w:val="Normal_11_0"/>
    <w:uiPriority w:val="0"/>
    <w:qFormat/>
    <w:rPr>
      <w:rFonts w:ascii="黑体" w:hAnsi="黑体" w:eastAsia="黑体" w:cs="Times New Roman"/>
      <w:b/>
      <w:sz w:val="32"/>
      <w:szCs w:val="24"/>
      <w:lang w:val="en-US" w:eastAsia="zh-CN" w:bidi="ar-SA"/>
    </w:rPr>
  </w:style>
  <w:style w:type="paragraph" w:styleId="1404"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405"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406" w:customStyle="1">
    <w:name w:val="Normal_12_0"/>
    <w:uiPriority w:val="0"/>
    <w:qFormat/>
    <w:rPr>
      <w:rFonts w:ascii="黑体" w:hAnsi="黑体" w:eastAsia="黑体" w:cs="Times New Roman"/>
      <w:b/>
      <w:sz w:val="32"/>
      <w:szCs w:val="24"/>
      <w:lang w:val="en-US" w:eastAsia="zh-CN" w:bidi="ar-SA"/>
    </w:rPr>
  </w:style>
  <w:style w:type="paragraph" w:styleId="1407"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40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41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11" w:customStyle="1">
    <w:name w:val="列出段落_2"/>
    <w:basedOn w:val="1409"/>
    <w:uiPriority w:val="34"/>
    <w:qFormat/>
    <w:pPr>
      <w:ind w:firstLine="420"/>
    </w:pPr>
  </w:style>
  <w:style w:type="paragraph" w:styleId="1412" w:customStyle="1">
    <w:name w:val="Normal_14_0"/>
    <w:uiPriority w:val="0"/>
    <w:qFormat/>
    <w:rPr>
      <w:rFonts w:ascii="黑体" w:hAnsi="黑体" w:eastAsia="黑体" w:cs="Times New Roman"/>
      <w:b/>
      <w:sz w:val="32"/>
      <w:szCs w:val="24"/>
      <w:lang w:val="en-US" w:eastAsia="zh-CN" w:bidi="ar-SA"/>
    </w:rPr>
  </w:style>
  <w:style w:type="paragraph" w:styleId="1413"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414" w:customStyle="1">
    <w:name w:val="正文缩进_0_0"/>
    <w:basedOn w:val="1413"/>
    <w:link w:val="1415"/>
    <w:uiPriority w:val="0"/>
    <w:unhideWhenUsed/>
    <w:qFormat/>
    <w:pPr>
      <w:ind w:firstLine="420"/>
    </w:pPr>
    <w:rPr>
      <w:rFonts w:ascii="Calibri" w:hAnsi="Calibri"/>
      <w:szCs w:val="22"/>
    </w:rPr>
  </w:style>
  <w:style w:type="character" w:styleId="1415" w:customStyle="1">
    <w:name w:val="正文缩进 Char1_0_0"/>
    <w:link w:val="1414"/>
    <w:uiPriority w:val="0"/>
    <w:qFormat/>
    <w:rPr>
      <w:sz w:val="21"/>
      <w:szCs w:val="22"/>
    </w:rPr>
  </w:style>
  <w:style w:type="paragraph" w:styleId="1416" w:customStyle="1">
    <w:name w:val="纯文本_0_0"/>
    <w:basedOn w:val="1417"/>
    <w:link w:val="1418"/>
    <w:uiPriority w:val="0"/>
    <w:unhideWhenUsed/>
    <w:qFormat/>
    <w:rPr>
      <w:rFonts w:ascii="宋体" w:hAnsi="Courier New"/>
      <w:szCs w:val="21"/>
    </w:rPr>
  </w:style>
  <w:style w:type="paragraph" w:styleId="1417"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418" w:customStyle="1">
    <w:name w:val="纯文本 Char_0_0"/>
    <w:link w:val="1416"/>
    <w:uiPriority w:val="0"/>
    <w:qFormat/>
    <w:rPr>
      <w:rFonts w:ascii="宋体" w:hAnsi="Courier New"/>
      <w:sz w:val="21"/>
      <w:szCs w:val="21"/>
    </w:rPr>
  </w:style>
  <w:style w:type="paragraph" w:styleId="1419" w:customStyle="1">
    <w:name w:val="Normal_15_0"/>
    <w:uiPriority w:val="0"/>
    <w:qFormat/>
    <w:rPr>
      <w:rFonts w:ascii="黑体" w:hAnsi="黑体" w:eastAsia="黑体" w:cs="Times New Roman"/>
      <w:b/>
      <w:sz w:val="32"/>
      <w:szCs w:val="24"/>
      <w:lang w:val="en-US" w:eastAsia="zh-CN" w:bidi="ar-SA"/>
    </w:rPr>
  </w:style>
  <w:style w:type="paragraph" w:styleId="1420"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421" w:customStyle="1">
    <w:name w:val="Normal_16_0"/>
    <w:uiPriority w:val="0"/>
    <w:qFormat/>
    <w:rPr>
      <w:rFonts w:ascii="黑体" w:hAnsi="黑体" w:eastAsia="黑体" w:cs="Times New Roman"/>
      <w:b/>
      <w:sz w:val="32"/>
      <w:szCs w:val="24"/>
      <w:lang w:val="en-US" w:eastAsia="zh-CN" w:bidi="ar-SA"/>
    </w:rPr>
  </w:style>
  <w:style w:type="paragraph" w:styleId="1422"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42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424" w:customStyle="1">
    <w:name w:val="Normal_17_0"/>
    <w:uiPriority w:val="0"/>
    <w:qFormat/>
    <w:rPr>
      <w:rFonts w:ascii="黑体" w:hAnsi="黑体" w:eastAsia="黑体" w:cs="Times New Roman"/>
      <w:b/>
      <w:sz w:val="32"/>
      <w:szCs w:val="24"/>
      <w:lang w:val="en-US" w:eastAsia="zh-CN" w:bidi="ar-SA"/>
    </w:rPr>
  </w:style>
  <w:style w:type="paragraph" w:styleId="142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426" w:customStyle="1">
    <w:name w:val="Normal_18_0"/>
    <w:uiPriority w:val="0"/>
    <w:qFormat/>
    <w:rPr>
      <w:rFonts w:ascii="黑体" w:hAnsi="黑体" w:eastAsia="黑体" w:cs="Times New Roman"/>
      <w:b/>
      <w:sz w:val="32"/>
      <w:szCs w:val="24"/>
      <w:lang w:val="en-US" w:eastAsia="zh-CN" w:bidi="ar-SA"/>
    </w:rPr>
  </w:style>
  <w:style w:type="paragraph" w:styleId="1427"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Body Text_0"/>
    <w:basedOn w:val="1103"/>
    <w:uiPriority w:val="99"/>
    <w:unhideWhenUsed/>
    <w:qFormat/>
    <w:pPr>
      <w:spacing w:after="120"/>
    </w:pPr>
    <w:rPr>
      <w:rFonts w:ascii="Calibri" w:hAnsi="Calibri"/>
      <w:sz w:val="20"/>
    </w:rPr>
  </w:style>
  <w:style w:type="paragraph" w:styleId="142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43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431" w:customStyle="1">
    <w:name w:val="Normal_14_0_0"/>
    <w:uiPriority w:val="0"/>
    <w:qFormat/>
    <w:rPr>
      <w:rFonts w:ascii="黑体" w:hAnsi="黑体" w:eastAsia="黑体" w:cs="Times New Roman"/>
      <w:b/>
      <w:sz w:val="32"/>
      <w:szCs w:val="24"/>
      <w:lang w:val="en-US" w:eastAsia="zh-CN" w:bidi="ar-SA"/>
    </w:rPr>
  </w:style>
  <w:style w:type="paragraph" w:styleId="143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433" w:customStyle="1">
    <w:name w:val="Normal_20"/>
    <w:basedOn w:val="1378"/>
    <w:next w:val="1434"/>
    <w:uiPriority w:val="0"/>
    <w:qFormat/>
    <w:rPr>
      <w:rFonts w:ascii="黑体" w:hAnsi="黑体" w:eastAsia="黑体"/>
      <w:b/>
      <w:sz w:val="32"/>
      <w:szCs w:val="24"/>
    </w:rPr>
  </w:style>
  <w:style w:type="paragraph" w:styleId="1434" w:customStyle="1">
    <w:name w:val="Body Text First Indent_2"/>
    <w:basedOn w:val="1433"/>
    <w:uiPriority w:val="0"/>
    <w:qFormat/>
    <w:pPr>
      <w:ind w:firstLine="100"/>
      <w:spacing w:after="120"/>
    </w:pPr>
  </w:style>
  <w:style w:type="paragraph" w:styleId="1435" w:customStyle="1">
    <w:name w:val="正文文本首行缩进 22"/>
    <w:basedOn w:val="1436"/>
    <w:uiPriority w:val="0"/>
    <w:qFormat/>
    <w:pPr>
      <w:ind w:left="200" w:firstLine="200"/>
      <w:spacing w:after="120"/>
    </w:pPr>
    <w:rPr>
      <w:rFonts w:ascii="Times New Roman" w:hAnsi="Times New Roman"/>
      <w:sz w:val="24"/>
    </w:rPr>
  </w:style>
  <w:style w:type="paragraph" w:styleId="1436" w:customStyle="1">
    <w:name w:val="正文文本缩进2"/>
    <w:basedOn w:val="1433"/>
    <w:uiPriority w:val="0"/>
    <w:qFormat/>
    <w:pPr>
      <w:ind w:firstLine="225"/>
    </w:pPr>
    <w:rPr>
      <w:rFonts w:ascii="仿宋_GB2312" w:eastAsia="仿宋_GB2312"/>
    </w:rPr>
  </w:style>
  <w:style w:type="paragraph" w:styleId="1437"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43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439" w:customStyle="1">
    <w:name w:val="Normal_21"/>
    <w:uiPriority w:val="99"/>
    <w:qFormat/>
    <w:rPr>
      <w:rFonts w:ascii="黑体" w:hAnsi="黑体" w:eastAsia="黑体" w:cs="Times New Roman"/>
      <w:b/>
      <w:sz w:val="32"/>
      <w:szCs w:val="24"/>
      <w:lang w:val="en-US" w:eastAsia="zh-CN" w:bidi="ar-SA"/>
    </w:rPr>
  </w:style>
  <w:style w:type="paragraph" w:styleId="144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441" w:customStyle="1">
    <w:name w:val="Normal_0_2"/>
    <w:next w:val="1442"/>
    <w:uiPriority w:val="0"/>
    <w:qFormat/>
    <w:rPr>
      <w:rFonts w:ascii="黑体" w:hAnsi="黑体" w:eastAsia="黑体" w:cs="Times New Roman"/>
      <w:b/>
      <w:sz w:val="32"/>
      <w:szCs w:val="24"/>
      <w:lang w:val="en-US" w:eastAsia="zh-CN" w:bidi="ar-SA"/>
    </w:rPr>
  </w:style>
  <w:style w:type="paragraph" w:styleId="1442" w:customStyle="1">
    <w:name w:val="Body Text First Indent_1"/>
    <w:basedOn w:val="866"/>
    <w:uiPriority w:val="99"/>
    <w:unhideWhenUsed/>
    <w:qFormat/>
    <w:pPr>
      <w:ind w:firstLine="420"/>
      <w:spacing w:after="120"/>
    </w:pPr>
    <w:rPr>
      <w:rFonts w:eastAsia="Times New Roman"/>
    </w:rPr>
  </w:style>
  <w:style w:type="paragraph" w:styleId="1443" w:customStyle="1">
    <w:name w:val="Normal_1_2"/>
    <w:uiPriority w:val="0"/>
    <w:qFormat/>
    <w:rPr>
      <w:rFonts w:ascii="Times New Roman" w:hAnsi="Times New Roman" w:eastAsia="Times New Roman" w:cs="Times New Roman"/>
      <w:sz w:val="24"/>
      <w:szCs w:val="24"/>
      <w:lang w:val="en-US" w:eastAsia="zh-CN" w:bidi="ar-SA"/>
    </w:rPr>
  </w:style>
  <w:style w:type="paragraph" w:styleId="1444" w:customStyle="1">
    <w:name w:val="Normal_0_3"/>
    <w:uiPriority w:val="0"/>
    <w:qFormat/>
    <w:rPr>
      <w:rFonts w:ascii="黑体" w:hAnsi="黑体" w:eastAsia="黑体" w:cs="Times New Roman"/>
      <w:b/>
      <w:sz w:val="32"/>
      <w:szCs w:val="24"/>
      <w:lang w:val="en-US" w:eastAsia="zh-CN" w:bidi="ar-SA"/>
    </w:rPr>
  </w:style>
  <w:style w:type="paragraph" w:styleId="144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446" w:customStyle="1">
    <w:name w:val="正文缩进1"/>
    <w:basedOn w:val="796"/>
    <w:uiPriority w:val="99"/>
    <w:qFormat/>
    <w:pPr>
      <w:ind w:firstLine="420"/>
      <w:jc w:val="left"/>
    </w:pPr>
    <w:rPr>
      <w:rFonts w:ascii="宋体"/>
      <w:sz w:val="24"/>
    </w:rPr>
  </w:style>
  <w:style w:type="paragraph" w:styleId="1447" w:customStyle="1">
    <w:name w:val="索引 11"/>
    <w:basedOn w:val="796"/>
    <w:next w:val="796"/>
    <w:uiPriority w:val="0"/>
    <w:qFormat/>
    <w:pPr>
      <w:spacing w:line="360" w:lineRule="auto"/>
    </w:pPr>
    <w:rPr>
      <w:rFonts w:ascii="仿宋_GB2312" w:eastAsia="仿宋_GB2312"/>
      <w:sz w:val="24"/>
      <w:szCs w:val="20"/>
    </w:rPr>
  </w:style>
  <w:style w:type="paragraph" w:styleId="1448" w:customStyle="1">
    <w:name w:val="纯文本1"/>
    <w:basedOn w:val="1383"/>
    <w:uiPriority w:val="0"/>
    <w:qFormat/>
    <w:rPr>
      <w:rFonts w:ascii="宋体" w:hAnsi="Courier New"/>
    </w:rPr>
  </w:style>
  <w:style w:type="paragraph" w:styleId="1449" w:customStyle="1">
    <w:name w:val="Normal_20_0_0"/>
    <w:next w:val="796"/>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450"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451" w:customStyle="1">
    <w:name w:val="正文缩进1_0"/>
    <w:basedOn w:val="1450"/>
    <w:link w:val="1452"/>
    <w:uiPriority w:val="0"/>
    <w:qFormat/>
    <w:pPr>
      <w:ind w:firstLine="420"/>
      <w:jc w:val="left"/>
    </w:pPr>
    <w:rPr>
      <w:rFonts w:ascii="宋体" w:hAnsi="Calibri" w:eastAsia="Times New Roman"/>
      <w:sz w:val="24"/>
      <w:szCs w:val="22"/>
    </w:rPr>
  </w:style>
  <w:style w:type="character" w:styleId="1452" w:customStyle="1">
    <w:name w:val="正文缩进 Char1_1"/>
    <w:link w:val="1451"/>
    <w:uiPriority w:val="0"/>
    <w:qFormat/>
    <w:rPr>
      <w:rFonts w:ascii="宋体" w:hAnsi="Calibri" w:eastAsia="Times New Roman"/>
      <w:sz w:val="24"/>
      <w:szCs w:val="22"/>
    </w:rPr>
  </w:style>
  <w:style w:type="paragraph" w:styleId="1453"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454"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455" w:customStyle="1">
    <w:name w:val="未处理的提及1"/>
    <w:uiPriority w:val="99"/>
    <w:unhideWhenUsed/>
    <w:qFormat/>
    <w:rPr>
      <w:color w:val="605e5c"/>
      <w:shd w:val="clear" w:color="auto" w:fill="e1dfdd"/>
    </w:rPr>
  </w:style>
  <w:style w:type="character" w:styleId="1456" w:customStyle="1">
    <w:name w:val="未处理的提及2"/>
    <w:uiPriority w:val="99"/>
    <w:unhideWhenUsed/>
    <w:qFormat/>
    <w:rPr>
      <w:color w:val="605e5c"/>
      <w:shd w:val="clear" w:color="auto" w:fill="e1dfdd"/>
    </w:rPr>
  </w:style>
  <w:style w:type="paragraph" w:styleId="1457"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458"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459" w:customStyle="1">
    <w:name w:val="10"/>
    <w:uiPriority w:val="0"/>
    <w:qFormat/>
    <w:rPr>
      <w:rFonts w:ascii="Times New Roman" w:hAnsi="Times New Roman" w:cs="Times New Roman"/>
    </w:rPr>
  </w:style>
  <w:style w:type="paragraph" w:styleId="1460" w:customStyle="1">
    <w:name w:val="正文文本2"/>
    <w:basedOn w:val="865"/>
    <w:uiPriority w:val="1"/>
    <w:qFormat/>
    <w:rPr>
      <w:rFonts w:ascii="Segoe UI" w:hAnsi="Segoe UI" w:cs="Segoe UI"/>
    </w:rPr>
  </w:style>
  <w:style w:type="paragraph" w:styleId="1461" w:customStyle="1">
    <w:name w:val="正文_16_0"/>
    <w:basedOn w:val="1381"/>
    <w:uiPriority w:val="0"/>
    <w:qFormat/>
  </w:style>
  <w:style w:type="paragraph" w:styleId="1462"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463"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464" w:customStyle="1">
    <w:name w:val="Normal_19_0_1"/>
    <w:uiPriority w:val="0"/>
    <w:qFormat/>
    <w:rPr>
      <w:rFonts w:ascii="Tahoma" w:hAnsi="Tahoma" w:eastAsia="微软雅黑" w:cs="Times New Roman"/>
      <w:lang w:val="en-US" w:eastAsia="zh-CN" w:bidi="ar-SA"/>
    </w:rPr>
  </w:style>
  <w:style w:type="paragraph" w:styleId="1465"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466" w:customStyle="1">
    <w:name w:val="正文_16_0_0_0"/>
    <w:basedOn w:val="1467"/>
    <w:uiPriority w:val="0"/>
    <w:qFormat/>
    <w:rPr>
      <w:rFonts w:ascii="Calibri" w:hAnsi="Calibri" w:cs="Calibri"/>
      <w:szCs w:val="21"/>
    </w:rPr>
  </w:style>
  <w:style w:type="paragraph" w:styleId="1467"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468" w:customStyle="1">
    <w:name w:val="15"/>
    <w:uiPriority w:val="0"/>
    <w:qFormat/>
    <w:rPr>
      <w:rFonts w:ascii="Times New Roman" w:hAnsi="Times New Roman" w:cs="Times New Roman"/>
      <w:color w:val="0000ff"/>
      <w:u w:val="single"/>
    </w:rPr>
  </w:style>
  <w:style w:type="character" w:styleId="1469" w:customStyle="1">
    <w:name w:val="16_0"/>
    <w:uiPriority w:val="0"/>
    <w:qFormat/>
    <w:rPr>
      <w:rFonts w:ascii="Times New Roman" w:hAnsi="Times New Roman" w:cs="Times New Roman"/>
    </w:rPr>
  </w:style>
  <w:style w:type="paragraph" w:styleId="1470"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471" w:customStyle="1">
    <w:name w:val="正文空2字"/>
    <w:basedOn w:val="79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72" w:customStyle="1">
    <w:name w:val="未处理的提及3"/>
    <w:uiPriority w:val="99"/>
    <w:unhideWhenUsed/>
    <w:qFormat/>
    <w:rPr>
      <w:color w:val="605e5c"/>
      <w:shd w:val="clear" w:color="auto" w:fill="e1dfdd"/>
    </w:rPr>
  </w:style>
  <w:style w:type="character" w:styleId="1473" w:customStyle="1">
    <w:name w:val="正文文本首行缩进 2 字符1"/>
    <w:uiPriority w:val="99"/>
    <w:semiHidden/>
    <w:qFormat/>
    <w:rPr>
      <w:rFonts w:ascii="Calibri" w:hAnsi="Calibri"/>
      <w:sz w:val="21"/>
      <w:szCs w:val="22"/>
    </w:rPr>
  </w:style>
  <w:style w:type="paragraph" w:styleId="1474" w:customStyle="1">
    <w:name w:val="Normal_20_0"/>
    <w:uiPriority w:val="0"/>
    <w:qFormat/>
    <w:pPr>
      <w:jc w:val="both"/>
      <w:widowControl w:val="off"/>
    </w:pPr>
    <w:rPr>
      <w:rFonts w:ascii="Calibri" w:hAnsi="Calibri" w:eastAsia="宋体" w:cs="Times New Roman"/>
      <w:lang w:val="en-US" w:eastAsia="zh-CN" w:bidi="ar-SA"/>
    </w:rPr>
  </w:style>
  <w:style w:type="paragraph" w:styleId="1475" w:customStyle="1">
    <w:name w:val="正文_12_0_0_0_0"/>
    <w:basedOn w:val="796"/>
    <w:uiPriority w:val="0"/>
    <w:qFormat/>
    <w:rPr>
      <w:rFonts w:ascii="Times New Roman" w:hAnsi="Times New Roman"/>
      <w:szCs w:val="24"/>
    </w:rPr>
  </w:style>
  <w:style w:type="paragraph" w:styleId="147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477" w:customStyle="1">
    <w:name w:val="custom-tag-placeholder-class"/>
    <w:uiPriority w:val="0"/>
    <w:qFormat/>
  </w:style>
  <w:style w:type="paragraph" w:styleId="1478" w:customStyle="1">
    <w:name w:val="正文缩进_1_0_0"/>
    <w:basedOn w:val="1479"/>
    <w:uiPriority w:val="0"/>
    <w:qFormat/>
    <w:pPr>
      <w:ind w:firstLine="420"/>
    </w:pPr>
    <w:rPr>
      <w:rFonts w:ascii="宋体"/>
      <w:color w:val="000000"/>
      <w:sz w:val="24"/>
      <w:szCs w:val="20"/>
    </w:rPr>
  </w:style>
  <w:style w:type="paragraph" w:styleId="1479" w:customStyle="1">
    <w:name w:val="正文_2_0_1"/>
    <w:next w:val="1478"/>
    <w:uiPriority w:val="0"/>
    <w:qFormat/>
    <w:pPr>
      <w:jc w:val="both"/>
      <w:widowControl w:val="off"/>
    </w:pPr>
    <w:rPr>
      <w:rFonts w:ascii="Times New Roman" w:hAnsi="Times New Roman" w:eastAsia="宋体" w:cs="Times New Roman"/>
      <w:sz w:val="21"/>
      <w:szCs w:val="22"/>
      <w:lang w:val="en-US" w:eastAsia="zh-CN" w:bidi="ar-SA"/>
    </w:rPr>
  </w:style>
  <w:style w:type="paragraph" w:styleId="1480"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481" w:customStyle="1">
    <w:name w:val="正文_16_0_0"/>
    <w:next w:val="1450"/>
    <w:uiPriority w:val="0"/>
    <w:qFormat/>
    <w:pPr>
      <w:jc w:val="both"/>
      <w:widowControl w:val="off"/>
    </w:pPr>
    <w:rPr>
      <w:rFonts w:ascii="Calibri" w:hAnsi="Calibri" w:eastAsia="宋体" w:cs="Times New Roman"/>
      <w:sz w:val="21"/>
      <w:szCs w:val="22"/>
      <w:lang w:val="en-US" w:eastAsia="zh-CN" w:bidi="ar-SA"/>
    </w:rPr>
  </w:style>
  <w:style w:type="character" w:styleId="1482" w:customStyle="1">
    <w:name w:val="批注框文本 字符"/>
    <w:basedOn w:val="806"/>
    <w:link w:val="819"/>
    <w:uiPriority w:val="99"/>
    <w:semiHidden/>
    <w:qFormat/>
    <w:rPr>
      <w:rFonts w:ascii="宋体" w:hAnsi="Calibri"/>
      <w:sz w:val="18"/>
      <w:szCs w:val="18"/>
    </w:rPr>
  </w:style>
  <w:style w:type="character" w:styleId="1483" w:customStyle="1">
    <w:name w:val="标题 1 字符2"/>
    <w:link w:val="797"/>
    <w:uiPriority w:val="9"/>
    <w:qFormat/>
    <w:rPr>
      <w:rFonts w:ascii="Arial" w:hAnsi="Arial" w:eastAsia="Arial" w:cs="Arial"/>
      <w:sz w:val="40"/>
      <w:szCs w:val="40"/>
    </w:rPr>
  </w:style>
  <w:style w:type="paragraph" w:styleId="1484" w:customStyle="1">
    <w:name w:val="Normal_19_0_0"/>
    <w:next w:val="796"/>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485" w:customStyle="1">
    <w:name w:val="Body Text_0_0"/>
    <w:basedOn w:val="1484"/>
    <w:uiPriority w:val="99"/>
    <w:unhideWhenUsed/>
    <w:qFormat/>
    <w:pPr>
      <w:spacing w:after="120"/>
    </w:pPr>
    <w:rPr>
      <w:sz w:val="20"/>
    </w:rPr>
  </w:style>
  <w:style w:type="paragraph" w:styleId="1486" w:customStyle="1">
    <w:name w:val="*正文"/>
    <w:basedOn w:val="796"/>
    <w:uiPriority w:val="0"/>
    <w:qFormat/>
    <w:pPr>
      <w:ind w:firstLine="560"/>
      <w:spacing w:line="360" w:lineRule="auto"/>
    </w:pPr>
    <w:rPr>
      <w:rFonts w:ascii="方正仿宋_GB2312" w:hAnsi="Times New Roman" w:eastAsia="方正仿宋_GB2312"/>
      <w:sz w:val="28"/>
      <w:szCs w:val="28"/>
    </w:rPr>
  </w:style>
  <w:style w:type="paragraph" w:styleId="1487" w:customStyle="1">
    <w:name w:val="Normal_21_0"/>
    <w:next w:val="796"/>
    <w:uiPriority w:val="0"/>
    <w:qFormat/>
    <w:pPr>
      <w:jc w:val="both"/>
      <w:widowControl w:val="off"/>
    </w:pPr>
    <w:rPr>
      <w:rFonts w:ascii="Times New Roman" w:hAnsi="Times New Roman" w:eastAsia="宋体" w:cs="Times New Roman"/>
      <w:sz w:val="21"/>
      <w:szCs w:val="24"/>
      <w:lang w:val="en-US" w:eastAsia="zh-CN" w:bidi="ar-SA"/>
    </w:rPr>
  </w:style>
  <w:style w:type="paragraph" w:styleId="1488" w:customStyle="1">
    <w:name w:val="正文3"/>
    <w:next w:val="1489"/>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89" w:customStyle="1">
    <w:name w:val="正文首行缩进3"/>
    <w:basedOn w:val="869"/>
    <w:uiPriority w:val="99"/>
    <w:unhideWhenUsed/>
    <w:qFormat/>
    <w:pPr>
      <w:ind w:firstLine="420"/>
      <w:spacing w:after="120"/>
    </w:pPr>
  </w:style>
  <w:style w:type="paragraph" w:styleId="14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91" w:customStyle="1">
    <w:name w:val="p17_0_0"/>
    <w:basedOn w:val="1103"/>
    <w:uiPriority w:val="0"/>
    <w:qFormat/>
    <w:pPr>
      <w:spacing w:before="100" w:beforeAutospacing="1" w:after="100" w:afterAutospacing="1"/>
    </w:pPr>
    <w:rPr>
      <w:rFonts w:ascii="宋体" w:hAnsi="宋体" w:eastAsia="Times New Roman" w:cs="宋体"/>
      <w:sz w:val="24"/>
    </w:rPr>
  </w:style>
  <w:style w:type="character" w:styleId="1492" w:customStyle="1">
    <w:name w:val="列出段落 Char"/>
    <w:link w:val="1263"/>
    <w:uiPriority w:val="0"/>
    <w:qFormat/>
    <w:rPr>
      <w:rFonts w:ascii="Calibri" w:hAnsi="Calibri"/>
      <w:sz w:val="21"/>
      <w:szCs w:val="22"/>
    </w:rPr>
  </w:style>
  <w:style w:type="character" w:styleId="1493" w:customStyle="1">
    <w:name w:val="页眉 字符"/>
    <w:basedOn w:val="806"/>
    <w:link w:val="821"/>
    <w:uiPriority w:val="99"/>
    <w:qFormat/>
    <w:rPr>
      <w:rFonts w:ascii="Calibri" w:hAnsi="Calibri"/>
      <w:sz w:val="21"/>
      <w:szCs w:val="22"/>
    </w:rPr>
  </w:style>
  <w:style w:type="table" w:styleId="1494" w:customStyle="1">
    <w:name w:val="无格式表格 12"/>
    <w:basedOn w:val="807"/>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95" w:customStyle="1">
    <w:name w:val="无格式表格 22"/>
    <w:basedOn w:val="807"/>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96" w:customStyle="1">
    <w:name w:val="无格式表格 32"/>
    <w:basedOn w:val="8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97" w:customStyle="1">
    <w:name w:val="无格式表格 42"/>
    <w:basedOn w:val="8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98" w:customStyle="1">
    <w:name w:val="无格式表格 52"/>
    <w:basedOn w:val="8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99" w:customStyle="1">
    <w:name w:val="网格表 1 浅色2"/>
    <w:basedOn w:val="807"/>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00" w:customStyle="1">
    <w:name w:val="网格表 22"/>
    <w:basedOn w:val="807"/>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01" w:customStyle="1">
    <w:name w:val="网格表 32"/>
    <w:basedOn w:val="807"/>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02" w:customStyle="1">
    <w:name w:val="网格表 42"/>
    <w:basedOn w:val="807"/>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03" w:customStyle="1">
    <w:name w:val="网格表 5 深色2"/>
    <w:basedOn w:val="8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04" w:customStyle="1">
    <w:name w:val="网格表 6 彩色2"/>
    <w:basedOn w:val="807"/>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05" w:customStyle="1">
    <w:name w:val="网格表 7 彩色2"/>
    <w:basedOn w:val="807"/>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06" w:customStyle="1">
    <w:name w:val="清单表 1 浅色2"/>
    <w:basedOn w:val="807"/>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7" w:customStyle="1">
    <w:name w:val="清单表 22"/>
    <w:basedOn w:val="807"/>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8" w:customStyle="1">
    <w:name w:val="清单表 32"/>
    <w:basedOn w:val="807"/>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09" w:customStyle="1">
    <w:name w:val="清单表 42"/>
    <w:basedOn w:val="807"/>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10" w:customStyle="1">
    <w:name w:val="清单表 5 深色2"/>
    <w:basedOn w:val="807"/>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11" w:customStyle="1">
    <w:name w:val="清单表 6 彩色2"/>
    <w:basedOn w:val="807"/>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12" w:customStyle="1">
    <w:name w:val="清单表 7 彩色2"/>
    <w:basedOn w:val="807"/>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513" w:customStyle="1">
    <w:name w:val="TOC 标题3"/>
    <w:uiPriority w:val="39"/>
    <w:unhideWhenUsed/>
    <w:qFormat/>
    <w:rPr>
      <w:rFonts w:asciiTheme="minorHAnsi" w:hAnsiTheme="minorHAnsi" w:eastAsiaTheme="minorEastAsia" w:cstheme="minorBidi"/>
      <w:lang w:val="en-US" w:eastAsia="zh-CN" w:bidi="ar-SA"/>
    </w:rPr>
  </w:style>
  <w:style w:type="paragraph" w:styleId="1514" w:customStyle="1">
    <w:name w:val="正文文本_0"/>
    <w:basedOn w:val="796"/>
    <w:uiPriority w:val="0"/>
    <w:qFormat/>
    <w:rPr>
      <w:rFonts w:ascii="仿宋" w:eastAsia="仿宋" w:cs="仿宋"/>
      <w:sz w:val="24"/>
      <w:szCs w:val="24"/>
      <w:lang w:val="zh-CN" w:bidi="zh-CN"/>
    </w:rPr>
  </w:style>
  <w:style w:type="paragraph" w:styleId="1515" w:customStyle="1">
    <w:name w:val="列出段落2"/>
    <w:basedOn w:val="796"/>
    <w:uiPriority w:val="0"/>
    <w:qFormat/>
    <w:pPr>
      <w:ind w:firstLine="420"/>
    </w:pPr>
    <w:rPr>
      <w:rFonts w:ascii="等线" w:hAnsi="等线" w:eastAsia="等线"/>
    </w:rPr>
  </w:style>
  <w:style w:type="paragraph" w:styleId="1516" w:customStyle="1">
    <w:name w:val="List Paragraph1"/>
    <w:basedOn w:val="796"/>
    <w:uiPriority w:val="0"/>
    <w:qFormat/>
    <w:pPr>
      <w:ind w:firstLine="420"/>
    </w:pPr>
    <w:rPr>
      <w:rFonts w:ascii="等线" w:hAnsi="等线" w:eastAsia="等线"/>
    </w:rPr>
  </w:style>
  <w:style w:type="paragraph" w:styleId="1517" w:customStyle="1">
    <w:name w:val="Normal_0_1_0_0_0"/>
    <w:uiPriority w:val="0"/>
    <w:qFormat/>
    <w:pPr>
      <w:jc w:val="both"/>
      <w:widowControl w:val="off"/>
    </w:pPr>
    <w:rPr>
      <w:rFonts w:ascii="Calibri" w:hAnsi="Calibri" w:eastAsia="宋体" w:cs="Times New Roman"/>
      <w:lang w:val="en-US" w:eastAsia="zh-CN" w:bidi="ar-SA"/>
    </w:rPr>
  </w:style>
  <w:style w:type="paragraph" w:styleId="1518" w:customStyle="1">
    <w:name w:val="List Paragraph_0_0"/>
    <w:basedOn w:val="796"/>
    <w:uiPriority w:val="34"/>
    <w:qFormat/>
    <w:pPr>
      <w:ind w:firstLine="420"/>
    </w:pPr>
    <w:rPr>
      <w:rFonts w:eastAsia="Times New Roman"/>
      <w:sz w:val="20"/>
      <w:szCs w:val="20"/>
    </w:rPr>
  </w:style>
  <w:style w:type="paragraph" w:styleId="1519" w:customStyle="1">
    <w:name w:val="正文21"/>
    <w:next w:val="867"/>
    <w:uiPriority w:val="0"/>
    <w:qFormat/>
    <w:pPr>
      <w:jc w:val="both"/>
      <w:widowControl w:val="off"/>
    </w:pPr>
    <w:rPr>
      <w:rFonts w:ascii="Times New Roman" w:hAnsi="Times New Roman" w:eastAsia="宋体" w:cs="Times New Roman"/>
      <w:szCs w:val="21"/>
      <w:lang w:val="en-US" w:eastAsia="zh-CN" w:bidi="ar-SA"/>
    </w:rPr>
  </w:style>
  <w:style w:type="paragraph" w:styleId="1520" w:customStyle="1">
    <w:name w:val="正文_0_1_0_0"/>
    <w:uiPriority w:val="99"/>
    <w:qFormat/>
    <w:pPr>
      <w:jc w:val="both"/>
      <w:widowControl w:val="off"/>
    </w:pPr>
    <w:rPr>
      <w:rFonts w:ascii="Calibri" w:hAnsi="Calibri" w:eastAsia="宋体" w:cs="Times New Roman"/>
      <w:lang w:val="en-US" w:eastAsia="zh-CN" w:bidi="ar-SA"/>
    </w:rPr>
  </w:style>
  <w:style w:type="character" w:styleId="1521" w:customStyle="1">
    <w:name w:val="批注文字 字符1"/>
    <w:basedOn w:val="806"/>
    <w:link w:val="811"/>
    <w:uiPriority w:val="99"/>
    <w:semiHidden/>
    <w:qFormat/>
    <w:rPr>
      <w:rFonts w:ascii="Calibri" w:hAnsi="Calibri"/>
      <w:sz w:val="21"/>
      <w:szCs w:val="22"/>
    </w:rPr>
  </w:style>
  <w:style w:type="character" w:styleId="1522" w:customStyle="1">
    <w:name w:val="纯文本 字符1"/>
    <w:basedOn w:val="806"/>
    <w:link w:val="816"/>
    <w:uiPriority w:val="99"/>
    <w:qFormat/>
    <w:rPr>
      <w:rFonts w:ascii="宋体" w:hAnsi="Courier New" w:cs="Courier New"/>
      <w:sz w:val="21"/>
      <w:szCs w:val="21"/>
    </w:rPr>
  </w:style>
  <w:style w:type="paragraph" w:styleId="1523" w:customStyle="1">
    <w:name w:val="List Paragraph_1"/>
    <w:basedOn w:val="1386"/>
    <w:uiPriority w:val="34"/>
    <w:qFormat/>
    <w:pPr>
      <w:ind w:firstLine="420"/>
    </w:pPr>
  </w:style>
  <w:style w:type="paragraph" w:styleId="1524" w:customStyle="1">
    <w:name w:val="普通(网站)111"/>
    <w:basedOn w:val="796"/>
    <w:uiPriority w:val="99"/>
    <w:qFormat/>
    <w:pPr>
      <w:jc w:val="left"/>
      <w:spacing w:before="100" w:beforeAutospacing="1" w:after="100" w:afterAutospacing="1"/>
      <w:widowControl/>
    </w:pPr>
    <w:rPr>
      <w:rFonts w:ascii="宋体" w:hAnsi="宋体" w:cs="宋体"/>
      <w:sz w:val="24"/>
      <w:szCs w:val="24"/>
    </w:rPr>
  </w:style>
  <w:style w:type="paragraph" w:styleId="1525" w:customStyle="1">
    <w:name w:val="正文文本缩进 22"/>
    <w:basedOn w:val="865"/>
    <w:uiPriority w:val="99"/>
    <w:qFormat/>
    <w:pPr>
      <w:ind w:left="420"/>
      <w:spacing w:line="480" w:lineRule="auto"/>
    </w:pPr>
  </w:style>
  <w:style w:type="character" w:styleId="1526" w:customStyle="1">
    <w:name w:val="批注主题 字符"/>
    <w:basedOn w:val="1521"/>
    <w:link w:val="833"/>
    <w:uiPriority w:val="99"/>
    <w:semiHidden/>
    <w:qFormat/>
    <w:rPr>
      <w:rFonts w:ascii="Calibri" w:hAnsi="Calibri"/>
      <w:b/>
      <w:bCs/>
      <w:sz w:val="21"/>
      <w:szCs w:val="22"/>
    </w:rPr>
  </w:style>
  <w:style w:type="paragraph" w:styleId="1527" w:customStyle="1">
    <w:name w:val="正文文本12"/>
    <w:basedOn w:val="796"/>
    <w:uiPriority w:val="1"/>
    <w:qFormat/>
    <w:pPr>
      <w:ind w:left="120"/>
    </w:pPr>
    <w:rPr>
      <w:rFonts w:ascii="宋体" w:hAnsi="宋体" w:cs="宋体"/>
      <w:lang w:val="zh-CN" w:bidi="zh-CN"/>
    </w:rPr>
  </w:style>
  <w:style w:type="numbering" w:styleId="15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张杨</cp:lastModifiedBy>
  <cp:revision>11</cp:revision>
  <dcterms:created xsi:type="dcterms:W3CDTF">2026-07-28T02:48:00Z</dcterms:created>
  <dcterms:modified xsi:type="dcterms:W3CDTF">2026-08-10T08:24:41Z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C204BBD6EC6D4B43BF472C669CC06D81_13</vt:lpwstr>
  </property>
  <property fmtid="{D5CDD505-2E9C-101B-9397-08002B2CF9AE}" pid="4" name="KSOTemplateDocerSaveRecord">
    <vt:lpwstr>eyJoZGlkIjoiZjhkNzFjNWVlZWEwMjA4Njk5ZWUzNTE3NDhiMzk1MTYiLCJ1c2VySWQiOiIyMDM3MzQ3MzEifQ==</vt:lpwstr>
  </property>
</Properties>
</file>